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21 - Solutions</w:t>
      </w:r>
    </w:p>
    <w:p>
      <w:pPr>
        <w:pStyle w:val="Heading2"/>
      </w:pPr>
      <w:r>
        <w:t>Topic: Playwright with VSCode and Java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test('Playwright with VSCode and Java example', async ({ page }) =&gt; {</w:t>
        <w:br/>
        <w:t xml:space="preserve">  await page.goto('https://example.com');</w:t>
        <w:br/>
        <w:br/>
        <w:t xml:space="preserve">  // Demonstration for: Create Maven Project</w:t>
        <w:br/>
        <w:t>"Configure Playwright extension under</w:t>
        <w:br/>
        <w:t>pom.xml file"</w:t>
        <w:br/>
        <w:t>Test Java application using Playwright</w:t>
        <w:br/>
        <w:br/>
        <w:t xml:space="preserve">  await expect(page).toHaveTitle(/Example/);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