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7 - Solutions</w:t>
      </w:r>
    </w:p>
    <w:p>
      <w:pPr>
        <w:pStyle w:val="Heading2"/>
      </w:pPr>
      <w:r>
        <w:t>Topic: Handling UI Components - Part 1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test('Handling UI Components - Part 1 example', async ({ page }) =&gt; {</w:t>
        <w:br/>
        <w:t xml:space="preserve">  await page.goto('https://example.com');</w:t>
        <w:br/>
        <w:br/>
        <w:t xml:space="preserve">  // Demonstration for: Playwright default Locators</w:t>
        <w:br/>
        <w:t>xpath( relative xpath, parent, child, sibling)</w:t>
        <w:br/>
        <w:t>CSS selectors</w:t>
        <w:br/>
        <w:t>Navigation functions</w:t>
        <w:br/>
        <w:t>Input File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