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8 - Solutions</w:t>
      </w:r>
    </w:p>
    <w:p>
      <w:pPr>
        <w:pStyle w:val="Heading2"/>
      </w:pPr>
      <w:r>
        <w:t>Topic: Handling UI Components - Part 2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test('Handling UI Components - Part 2 example', async ({ page }) =&gt; {</w:t>
        <w:br/>
        <w:t xml:space="preserve">  await page.goto('https://example.com');</w:t>
        <w:br/>
        <w:br/>
        <w:t xml:space="preserve">  // Demonstration for: Lists and Dropdowns</w:t>
        <w:br/>
        <w:t>Tooltips</w:t>
        <w:br/>
        <w:t>Dialog Boxes, alerts</w:t>
        <w:br/>
        <w:t>Date Pickers</w:t>
        <w:br/>
        <w:t>Shadow Root elements</w:t>
        <w:br/>
        <w:t>Web Tables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