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9 - Solutions</w:t>
      </w:r>
    </w:p>
    <w:p>
      <w:pPr>
        <w:pStyle w:val="Heading2"/>
      </w:pPr>
      <w:r>
        <w:t>Topic: Handling Frames, Windows, Dialog box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test('Handling Frames, Windows, Dialog box example', async ({ page }) =&gt; {</w:t>
        <w:br/>
        <w:t xml:space="preserve">  await page.goto('https://example.com');</w:t>
        <w:br/>
        <w:br/>
        <w:t xml:space="preserve">  // Demonstration for: Handling Frames</w:t>
        <w:br/>
        <w:t>Handing Multiple tabs / windows</w:t>
        <w:br/>
        <w:t>File Upload, Download alert windows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Debug Tests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test('Debug Tests example', async ({ page }) =&gt; {</w:t>
        <w:br/>
        <w:t xml:space="preserve">  await page.goto('https://example.com');</w:t>
        <w:br/>
        <w:br/>
        <w:t xml:space="preserve">  // Demonstration for: Trace View</w:t>
        <w:br/>
        <w:t>Debug</w:t>
        <w:br/>
        <w:t xml:space="preserve">Playwright Configuration File for </w:t>
        <w:br/>
        <w:t>Test Configuration ( timeout settings, retries, workers, projects)</w:t>
        <w:br/>
        <w:t>G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