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pPr>
      <w:r>
        <w:rPr>
          <w:rFonts w:ascii="Calibri" w:cs="Calibri" w:eastAsia="Calibri" w:hAnsi="Calibri"/>
          <w:b/>
          <w:bCs/>
          <w:color w:val="C8841A"/>
          <w:spacing w:val="40"/>
          <w:sz w:val="18"/>
          <w:szCs w:val="18"/>
        </w:rPr>
        <w:t xml:space="preserve">SOLUTION ARCHITECTURE  ·  CAPITAL MARKETS RISK</w:t>
      </w:r>
    </w:p>
    <w:p>
      <w:pPr>
        <w:spacing w:after="80"/>
      </w:pPr>
      <w:r>
        <w:rPr>
          <w:rFonts w:ascii="Calibri" w:cs="Calibri" w:eastAsia="Calibri" w:hAnsi="Calibri"/>
          <w:b/>
          <w:bCs/>
          <w:color w:val="0B2447"/>
          <w:sz w:val="52"/>
          <w:szCs w:val="52"/>
        </w:rPr>
        <w:t xml:space="preserve">Core Risk Platform</w:t>
      </w:r>
    </w:p>
    <w:p>
      <w:pPr>
        <w:pBdr>
          <w:bottom w:val="single" w:color="C8841A" w:sz="18" w:space="4"/>
        </w:pBdr>
        <w:spacing w:after="200"/>
      </w:pPr>
      <w:r>
        <w:rPr>
          <w:rFonts w:ascii="Calibri" w:cs="Calibri" w:eastAsia="Calibri" w:hAnsi="Calibri"/>
          <w:i/>
          <w:iCs/>
          <w:color w:val="19376D"/>
          <w:sz w:val="24"/>
          <w:szCs w:val="24"/>
        </w:rPr>
        <w:t xml:space="preserve">Resourcing &amp; Phasing — Team Composition, Roles, Headcount, Ramp</w:t>
      </w:r>
    </w:p>
    <w:p>
      <w:pPr>
        <w:spacing w:after="120" w:line="300"/>
      </w:pPr>
      <w:r>
        <w:rPr>
          <w:rFonts w:ascii="Calibri" w:cs="Calibri" w:eastAsia="Calibri" w:hAnsi="Calibri"/>
          <w:color w:val="5A6B8A"/>
          <w:sz w:val="20"/>
          <w:szCs w:val="20"/>
        </w:rPr>
        <w:t xml:space="preserve">Prepared for Bala  ·  Enterprise &amp; Solution Architecture</w:t>
      </w:r>
    </w:p>
    <w:p>
      <w:pPr>
        <w:spacing w:after="280" w:line="300"/>
      </w:pPr>
      <w:r>
        <w:rPr>
          <w:rFonts w:ascii="Calibri" w:cs="Calibri" w:eastAsia="Calibri" w:hAnsi="Calibri"/>
          <w:color w:val="5A6B8A"/>
          <w:sz w:val="20"/>
          <w:szCs w:val="20"/>
        </w:rPr>
        <w:t xml:space="preserve">Version 1.0  ·  April 2026</w:t>
      </w:r>
    </w:p>
    <w:p>
      <w:pPr>
        <w:pStyle w:val="Heading1"/>
        <w:pBdr>
          <w:bottom w:val="single" w:color="C8841A" w:sz="12" w:space="6"/>
        </w:pBdr>
        <w:spacing w:after="160" w:before="320"/>
      </w:pPr>
      <w:r>
        <w:rPr>
          <w:rFonts w:ascii="Calibri" w:cs="Calibri" w:eastAsia="Calibri" w:hAnsi="Calibri"/>
          <w:b/>
          <w:bCs/>
          <w:color w:val="0B2447"/>
          <w:sz w:val="32"/>
          <w:szCs w:val="32"/>
        </w:rPr>
        <w:t xml:space="preserve">1. Executive Summary</w:t>
      </w:r>
    </w:p>
    <w:p>
      <w:pPr>
        <w:spacing w:after="120" w:line="300"/>
      </w:pPr>
      <w:r>
        <w:rPr>
          <w:rFonts w:ascii="Calibri" w:cs="Calibri" w:eastAsia="Calibri" w:hAnsi="Calibri"/>
          <w:color w:val="1F2A44"/>
          <w:sz w:val="22"/>
          <w:szCs w:val="22"/>
        </w:rPr>
        <w:t xml:space="preserve">This document sets out the recommended team composition, role profiles, headcount and phased ramp for the delivery of the Core Risk Platform. It is the operational counterpart to the technical architecture and rationale documents — where those define what is being built, this defines who builds it, in what shape, and over what period.</w:t>
      </w:r>
    </w:p>
    <w:p>
      <w:pPr>
        <w:spacing w:after="120" w:line="300"/>
      </w:pPr>
      <w:r>
        <w:rPr>
          <w:rFonts w:ascii="Calibri" w:cs="Calibri" w:eastAsia="Calibri" w:hAnsi="Calibri"/>
          <w:color w:val="1F2A44"/>
          <w:sz w:val="22"/>
          <w:szCs w:val="22"/>
        </w:rPr>
        <w:t xml:space="preserve">The recommendation is for a programme that scales to approximately 105 FTE at peak across 18–24 months of delivery, organised into three layers. A leadership and governance tier of 13 FTE that runs for the full duration. Seven core capability teams totalling 45 FTE that build the foundational platform components and serve every other team. Four feature teams totalling 51 FTE that own a domain end-to-end and consume the foundations. The composition is deliberately top-light on management and bottom-heavy on engineering and quant capability.</w:t>
      </w:r>
    </w:p>
    <w:p>
      <w:pPr>
        <w:spacing w:after="120" w:line="300"/>
      </w:pPr>
      <w:r>
        <w:rPr>
          <w:rFonts w:ascii="Calibri" w:cs="Calibri" w:eastAsia="Calibri" w:hAnsi="Calibri"/>
          <w:color w:val="1F2A44"/>
          <w:sz w:val="22"/>
          <w:szCs w:val="22"/>
        </w:rPr>
        <w:t xml:space="preserve">The most important shape decision is the split between core capabilities and feature teams. Core teams build the platform; feature teams build on it. Core teams must not own a risk domain’s roadmap, and feature teams must not run their own Kafka clusters or design their own RBAC framework. This split is the single largest determinant of whether the programme converges into a coherent platform or fragments into three vertical silos.</w:t>
      </w:r>
    </w:p>
    <w:p>
      <w:pPr>
        <w:spacing w:after="120" w:line="300"/>
      </w:pPr>
      <w:r>
        <w:rPr>
          <w:rFonts w:ascii="Calibri" w:cs="Calibri" w:eastAsia="Calibri" w:hAnsi="Calibri"/>
          <w:color w:val="1F2A44"/>
          <w:sz w:val="22"/>
          <w:szCs w:val="22"/>
        </w:rPr>
        <w:t xml:space="preserve">Mobilisation order matters more than peak headcount. The core capability teams responsible for the cloud platform, integration backbone, identity and security, and data platform must be staffed and productive by Month 2 of the programme, or feature teams will sit idle in Month 4 waiting for foundations. The phased ramp described in Section 8 reflects this constraint.</w:t>
      </w:r>
    </w:p>
    <w:p>
      <w:pPr>
        <w:pStyle w:val="Heading1"/>
        <w:pBdr>
          <w:bottom w:val="single" w:color="C8841A" w:sz="12" w:space="6"/>
        </w:pBdr>
        <w:spacing w:after="160" w:before="320"/>
      </w:pPr>
      <w:r>
        <w:rPr>
          <w:rFonts w:ascii="Calibri" w:cs="Calibri" w:eastAsia="Calibri" w:hAnsi="Calibri"/>
          <w:b/>
          <w:bCs/>
          <w:color w:val="0B2447"/>
          <w:sz w:val="32"/>
          <w:szCs w:val="32"/>
        </w:rPr>
        <w:t xml:space="preserve">2. Operating Model</w:t>
      </w:r>
    </w:p>
    <w:p>
      <w:pPr>
        <w:spacing w:after="120" w:line="300"/>
      </w:pPr>
      <w:r>
        <w:rPr>
          <w:rFonts w:ascii="Calibri" w:cs="Calibri" w:eastAsia="Calibri" w:hAnsi="Calibri"/>
          <w:color w:val="1F2A44"/>
          <w:sz w:val="22"/>
          <w:szCs w:val="22"/>
        </w:rPr>
        <w:t xml:space="preserve">The programme adopts a three-layer operating model. Each layer has a distinct purpose, accountability and cadence, and the boundary between them is enforced through a clear set of platform contracts.</w:t>
      </w:r>
    </w:p>
    <w:p>
      <w:pPr>
        <w:pStyle w:val="Heading2"/>
        <w:spacing w:after="100" w:before="240"/>
      </w:pPr>
      <w:r>
        <w:rPr>
          <w:rFonts w:ascii="Calibri" w:cs="Calibri" w:eastAsia="Calibri" w:hAnsi="Calibri"/>
          <w:b/>
          <w:bCs/>
          <w:color w:val="19376D"/>
          <w:sz w:val="26"/>
          <w:szCs w:val="26"/>
        </w:rPr>
        <w:t xml:space="preserve">2.1 Three-layer model</w:t>
      </w:r>
    </w:p>
    <w:p>
      <w:pPr>
        <w:spacing w:after="120" w:line="300"/>
      </w:pPr>
      <w:r>
        <w:rPr>
          <w:rFonts w:ascii="Calibri" w:cs="Calibri" w:eastAsia="Calibri" w:hAnsi="Calibri"/>
          <w:color w:val="1F2A44"/>
          <w:sz w:val="22"/>
          <w:szCs w:val="22"/>
        </w:rPr>
        <w:t xml:space="preserve">The three layers — Leadership, Core Capabilities, Feature Teams — are summarised below. The feature team layer also includes two cross-domain teams (Risk Reporting and Test Engineering) that serve all risk domains rather than owning one.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400"/>
        <w:gridCol w:w="2060"/>
      </w:tblGrid>
      <w:tr>
        <w:trPr>
          <w:tblHeader/>
        </w:trPr>
        <w:tc>
          <w:tcPr>
            <w:tcW w:type="dxa" w:w="22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Layer</w:t>
            </w:r>
          </w:p>
        </w:tc>
        <w:tc>
          <w:tcPr>
            <w:tcW w:type="dxa" w:w="27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Accountability</w:t>
            </w:r>
          </w:p>
        </w:tc>
        <w:tc>
          <w:tcPr>
            <w:tcW w:type="dxa" w:w="206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Composition</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Leadership &amp; Governance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Programme direction; architecture authority; risk and product leadership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Outcomes; risk; budget; stakeholder relationships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13 FTE across programme management, architecture, product, risk and PMO</w:t>
            </w:r>
          </w:p>
        </w:tc>
      </w:tr>
      <w:tr>
        <w:trPr>
          <w:cantSplit/>
        </w:trP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Core Capability Teams</w:t>
            </w:r>
          </w:p>
        </w:tc>
        <w:tc>
          <w:tcPr>
            <w:tcW w:type="dxa" w:w="2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Build foundational platform components used by all feature teams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Production health and roadmap of their platform service</w:t>
            </w:r>
          </w:p>
        </w:tc>
        <w:tc>
          <w:tcPr>
            <w:tcW w:type="dxa" w:w="2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7 teams · 45 FTE · long-running platform-service teams</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Feature Teams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Deliver risk domain capabilities and cross-domain experiences end-to-end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Business outcomes for their risk domain or experience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4 teams · 51 FTE — 3 risk domain teams + Risk Reporting</w:t>
            </w:r>
          </w:p>
        </w:tc>
      </w:tr>
      <w:tr>
        <w:trPr>
          <w:cantSplit/>
        </w:trP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Test Engineering</w:t>
            </w:r>
          </w:p>
        </w:tc>
        <w:tc>
          <w:tcPr>
            <w:tcW w:type="dxa" w:w="2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Programme-wide automation framework and NFR rig</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Test framework and shared performance/chaos tooling — not quality</w:t>
            </w:r>
          </w:p>
        </w:tc>
        <w:tc>
          <w:tcPr>
            <w:tcW w:type="dxa" w:w="2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 team · 5 FTE — quality is owned in feature teams</w:t>
            </w:r>
          </w:p>
        </w:tc>
      </w:tr>
    </w:tbl>
    <w:p>
      <w:pPr>
        <w:pStyle w:val="Heading2"/>
        <w:spacing w:after="100" w:before="240"/>
      </w:pPr>
      <w:r>
        <w:rPr>
          <w:rFonts w:ascii="Calibri" w:cs="Calibri" w:eastAsia="Calibri" w:hAnsi="Calibri"/>
          <w:b/>
          <w:bCs/>
          <w:color w:val="19376D"/>
          <w:sz w:val="26"/>
          <w:szCs w:val="26"/>
        </w:rPr>
        <w:t xml:space="preserve">2.2 Platform contracts between layers</w:t>
      </w:r>
    </w:p>
    <w:p>
      <w:pPr>
        <w:spacing w:after="120" w:line="300"/>
      </w:pPr>
      <w:r>
        <w:rPr>
          <w:rFonts w:ascii="Calibri" w:cs="Calibri" w:eastAsia="Calibri" w:hAnsi="Calibri"/>
          <w:color w:val="1F2A44"/>
          <w:sz w:val="22"/>
          <w:szCs w:val="22"/>
        </w:rPr>
        <w:t xml:space="preserve">The boundary between core capability teams and feature teams is defined by a small number of platform contracts. Each core capability publishes (a) a versioned service contract, (b) self-service onboarding documentation, and (c) an SLA with associated SLOs. Feature teams consume these contracts and build their domain capabilities on top, without ever directly operating the underlying technology. This is the same operating pattern that AWS uses internally with its services teams, and it is the only sustainable way to scale a 100-FTE platform programme without descending into chaos.</w:t>
      </w:r>
    </w:p>
    <w:p>
      <w:pPr>
        <w:spacing w:after="200" w:line="300"/>
      </w:pPr>
      <w:r>
        <w:rPr>
          <w:rFonts w:ascii="Calibri" w:cs="Calibri" w:eastAsia="Calibri" w:hAnsi="Calibri"/>
          <w:color w:val="1F2A44"/>
          <w:sz w:val="22"/>
          <w:szCs w:val="22"/>
        </w:rPr>
        <w:t xml:space="preserve">Examples of platform contracts: the Data Platform team publishes a Flink job framework that takes a YAML definition and stands up a stream processing job; feature teams write the YAML, not Flink Java code. The Integration team publishes a CCH connector template; the Liquidity team instantiates it for each new CCH. The UI Platform team publishes the design system as an npm package; feature teams import it.</w:t>
      </w:r>
    </w:p>
    <w:p>
      <w:r>
        <w:br w:type="page"/>
      </w:r>
    </w:p>
    <w:p>
      <w:pPr>
        <w:pStyle w:val="Heading1"/>
        <w:pBdr>
          <w:bottom w:val="single" w:color="C8841A" w:sz="12" w:space="6"/>
        </w:pBdr>
        <w:spacing w:after="160" w:before="320"/>
      </w:pPr>
      <w:r>
        <w:rPr>
          <w:rFonts w:ascii="Calibri" w:cs="Calibri" w:eastAsia="Calibri" w:hAnsi="Calibri"/>
          <w:b/>
          <w:bCs/>
          <w:color w:val="0B2447"/>
          <w:sz w:val="32"/>
          <w:szCs w:val="32"/>
        </w:rPr>
        <w:t xml:space="preserve">3. Leadership &amp; Governance — 13 FTE</w:t>
      </w:r>
    </w:p>
    <w:p>
      <w:pPr>
        <w:spacing w:after="120" w:line="300"/>
      </w:pPr>
      <w:r>
        <w:rPr>
          <w:rFonts w:ascii="Calibri" w:cs="Calibri" w:eastAsia="Calibri" w:hAnsi="Calibri"/>
          <w:color w:val="1F2A44"/>
          <w:sz w:val="22"/>
          <w:szCs w:val="22"/>
        </w:rPr>
        <w:t xml:space="preserve">The leadership and governance layer is the only layer that runs for the full duration of the programme at full strength. These thirteen roles are the programme’s spine: they set direction, hold the architecture together, manage stakeholder relationships, and own the regulatory evidence pack. Most are senior or principal-grade hires; collectively they are the most expensive part of the programme on a per-FTE basis but the cheapest in terms of risk to outcome.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600"/>
        <w:gridCol w:w="4660"/>
        <w:gridCol w:w="2000"/>
      </w:tblGrid>
      <w:tr>
        <w:trPr>
          <w:tblHeader/>
        </w:trPr>
        <w:tc>
          <w:tcPr>
            <w:tcW w:type="dxa" w:w="21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6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FTE</w:t>
            </w:r>
          </w:p>
        </w:tc>
        <w:tc>
          <w:tcPr>
            <w:tcW w:type="dxa" w:w="466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Responsibilities</w:t>
            </w:r>
          </w:p>
        </w:tc>
        <w:tc>
          <w:tcPr>
            <w:tcW w:type="dxa" w:w="20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Tenure</w:t>
            </w:r>
          </w:p>
        </w:tc>
      </w:tr>
      <w:tr>
        <w:trPr>
          <w:cantSplit/>
        </w:trP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Programme Director</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Accountable end-to-end; reports to Risk + Tech ExCo; chairs Steering Committee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M0 — go-live + 6m</w:t>
            </w:r>
          </w:p>
        </w:tc>
      </w:tr>
      <w:tr>
        <w:trPr>
          <w:cantSplit/>
        </w:trPr>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Programme Manager</w:t>
            </w:r>
          </w:p>
        </w:tc>
        <w:tc>
          <w:tcPr>
            <w:tcW w:type="dxa" w:w="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Day-to-day delivery management; risks, dependencies, budget; steering pack owner</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M0 — go-live + 6m</w:t>
            </w:r>
          </w:p>
        </w:tc>
      </w:tr>
      <w:tr>
        <w:trPr>
          <w:cantSplit/>
        </w:trP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Delivery Manager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Cadence (PI planning, big-room, retros); delivery dependencies; release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M0 — full duration</w:t>
            </w:r>
          </w:p>
        </w:tc>
      </w:tr>
      <w:tr>
        <w:trPr>
          <w:cantSplit/>
        </w:trPr>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Chief Architect</w:t>
            </w:r>
          </w:p>
        </w:tc>
        <w:tc>
          <w:tcPr>
            <w:tcW w:type="dxa" w:w="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Owns the target architecture; chairs Architecture Review Board; final design authority</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M0 — full duration</w:t>
            </w:r>
          </w:p>
        </w:tc>
      </w:tr>
      <w:tr>
        <w:trPr>
          <w:cantSplit/>
        </w:trP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Lead Solution Architect</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Detailed technical design across teams; right-hand to Chief Architect; standards owner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M0 — full duration</w:t>
            </w:r>
          </w:p>
        </w:tc>
      </w:tr>
      <w:tr>
        <w:trPr>
          <w:cantSplit/>
        </w:trPr>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Domain Architect — Data</w:t>
            </w:r>
          </w:p>
        </w:tc>
        <w:tc>
          <w:tcPr>
            <w:tcW w:type="dxa" w:w="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Lakehouse, stores, lineage, DQ; owns data contracts across all 20+ integrations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M0 — full duration</w:t>
            </w:r>
          </w:p>
        </w:tc>
      </w:tr>
      <w:tr>
        <w:trPr>
          <w:cantSplit/>
        </w:trP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Domain Architect — Risk</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Calculation engines, model artefacts, quant integration; deep risk methodology background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M0 — full duration</w:t>
            </w:r>
          </w:p>
        </w:tc>
      </w:tr>
      <w:tr>
        <w:trPr>
          <w:cantSplit/>
        </w:trPr>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Domain Architect — UI / Workflow</w:t>
            </w:r>
          </w:p>
        </w:tc>
        <w:tc>
          <w:tcPr>
            <w:tcW w:type="dxa" w:w="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UI suite, orchestration, broker UX; owns Broker / Ops / Reporting experience coherence</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M0 — full duration</w:t>
            </w:r>
          </w:p>
        </w:tc>
      </w:tr>
      <w:tr>
        <w:trPr>
          <w:cantSplit/>
        </w:trP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Head of Engineering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People management for all engineering managers; engineering practice; hiring partner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M0 — full duration</w:t>
            </w:r>
          </w:p>
        </w:tc>
      </w:tr>
      <w:tr>
        <w:trPr>
          <w:cantSplit/>
        </w:trPr>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Head of Product</w:t>
            </w:r>
          </w:p>
        </w:tc>
        <w:tc>
          <w:tcPr>
            <w:tcW w:type="dxa" w:w="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People management for product owners; roadmap coherence across feature teams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M0 — full duration</w:t>
            </w:r>
          </w:p>
        </w:tc>
      </w:tr>
      <w:tr>
        <w:trPr>
          <w:cantSplit/>
        </w:trP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Risk &amp; Compliance Lead</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Liaison to 2nd line risk; compliance evidence pack; PRA / FCA touchpoints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M0 — full duration</w:t>
            </w:r>
          </w:p>
        </w:tc>
      </w:tr>
      <w:tr>
        <w:trPr>
          <w:cantSplit/>
        </w:trPr>
        <w:tc>
          <w:tcPr>
            <w:tcW w:type="dxa" w:w="2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Model Risk Lead</w:t>
            </w:r>
          </w:p>
        </w:tc>
        <w:tc>
          <w:tcPr>
            <w:tcW w:type="dxa" w:w="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SR 11-7 / SS1/23 governance; independent model validation gate; model inventory owner</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M3 — full duration</w:t>
            </w:r>
          </w:p>
        </w:tc>
      </w:tr>
      <w:tr>
        <w:trPr>
          <w:cantSplit/>
        </w:trPr>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PMO Analysts</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2</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Plan, RAID, financials, capacity, status reporting; secretariat to Steering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M0 — full duration</w:t>
            </w:r>
          </w:p>
        </w:tc>
      </w:tr>
    </w:tbl>
    <w:p>
      <w:r>
        <w:br w:type="page"/>
      </w:r>
    </w:p>
    <w:p>
      <w:pPr>
        <w:pStyle w:val="Heading1"/>
        <w:pBdr>
          <w:bottom w:val="single" w:color="C8841A" w:sz="12" w:space="6"/>
        </w:pBdr>
        <w:spacing w:after="160" w:before="320"/>
      </w:pPr>
      <w:r>
        <w:rPr>
          <w:rFonts w:ascii="Calibri" w:cs="Calibri" w:eastAsia="Calibri" w:hAnsi="Calibri"/>
          <w:b/>
          <w:bCs/>
          <w:color w:val="0B2447"/>
          <w:sz w:val="32"/>
          <w:szCs w:val="32"/>
        </w:rPr>
        <w:t xml:space="preserve">4. Core Capability Teams — 45 FTE</w:t>
      </w:r>
    </w:p>
    <w:p>
      <w:pPr>
        <w:spacing w:after="120" w:line="300"/>
      </w:pPr>
      <w:r>
        <w:rPr>
          <w:rFonts w:ascii="Calibri" w:cs="Calibri" w:eastAsia="Calibri" w:hAnsi="Calibri"/>
          <w:color w:val="1F2A44"/>
          <w:sz w:val="22"/>
          <w:szCs w:val="22"/>
        </w:rPr>
        <w:t xml:space="preserve">Seven core capability teams build the foundational platform components. Each is a long-running team with end-to-end accountability for its slice of the platform — they build it, run it, evolve it, and provide the on-call support. None is a one-time delivery team. Their throughput is what determines how quickly feature teams can deliver.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6400"/>
        <w:gridCol w:w="2160"/>
      </w:tblGrid>
      <w:tr>
        <w:trPr>
          <w:cantSplit/>
        </w:trPr>
        <w:tc>
          <w:tcPr>
            <w:tcW w:type="dxa" w:w="800"/>
            <w:tcBorders>
              <w:top w:val="none" w:color="FFFFFF" w:sz="0"/>
              <w:left w:val="none" w:color="FFFFFF" w:sz="0"/>
              <w:bottom w:val="none" w:color="FFFFFF" w:sz="0"/>
              <w:right w:val="none" w:color="FFFFFF" w:sz="0"/>
            </w:tcBorders>
            <w:shd w:fill="1F7B82" w:val="clear"/>
            <w:tcMar>
              <w:top w:type="dxa" w:w="140"/>
              <w:left w:type="dxa" w:w="140"/>
              <w:bottom w:type="dxa" w:w="140"/>
              <w:right w:type="dxa" w:w="140"/>
            </w:tcMar>
            <w:vAlign w:val="center"/>
          </w:tcPr>
          <w:p>
            <w:pPr>
              <w:jc w:val="center"/>
            </w:pPr>
            <w:r>
              <w:rPr>
                <w:rFonts w:ascii="Calibri" w:cs="Calibri" w:eastAsia="Calibri" w:hAnsi="Calibri"/>
                <w:b/>
                <w:bCs/>
                <w:color w:val="FFFFFF"/>
                <w:sz w:val="36"/>
                <w:szCs w:val="36"/>
              </w:rPr>
              <w:t xml:space="preserve">4.1</w:t>
            </w:r>
          </w:p>
        </w:tc>
        <w:tc>
          <w:tcPr>
            <w:tcW w:type="dxa" w:w="6400"/>
            <w:tcBorders>
              <w:top w:val="none" w:color="FFFFFF" w:sz="0"/>
              <w:left w:val="none" w:color="FFFFFF" w:sz="0"/>
              <w:bottom w:val="none" w:color="FFFFFF" w:sz="0"/>
              <w:right w:val="none" w:color="FFFFFF" w:sz="0"/>
            </w:tcBorders>
            <w:tcMar>
              <w:top w:type="dxa" w:w="100"/>
              <w:left w:type="dxa" w:w="240"/>
              <w:bottom w:type="dxa" w:w="100"/>
              <w:right w:type="dxa" w:w="140"/>
            </w:tcMar>
            <w:vAlign w:val="center"/>
          </w:tcPr>
          <w:p>
            <w:pPr>
              <w:spacing w:after="40"/>
            </w:pPr>
            <w:r>
              <w:rPr>
                <w:rFonts w:ascii="Calibri" w:cs="Calibri" w:eastAsia="Calibri" w:hAnsi="Calibri"/>
                <w:b/>
                <w:bCs/>
                <w:color w:val="0B2447"/>
                <w:sz w:val="28"/>
                <w:szCs w:val="28"/>
              </w:rPr>
              <w:t xml:space="preserve">Cloud Platform &amp; SRE</w:t>
            </w:r>
          </w:p>
          <w:p>
            <w:r>
              <w:rPr>
                <w:rFonts w:ascii="Calibri" w:cs="Calibri" w:eastAsia="Calibri" w:hAnsi="Calibri"/>
                <w:i/>
                <w:iCs/>
                <w:color w:val="5A6B8A"/>
                <w:sz w:val="18"/>
                <w:szCs w:val="18"/>
              </w:rPr>
              <w:t xml:space="preserve">AWS landing zone, EKS, Terraform, CI/CD, observability — every other team depends on its outputs</w:t>
            </w:r>
          </w:p>
        </w:tc>
        <w:tc>
          <w:tcPr>
            <w:tcW w:type="dxa" w:w="2160"/>
            <w:tcBorders>
              <w:top w:val="none" w:color="FFFFFF" w:sz="0"/>
              <w:left w:val="none" w:color="FFFFFF" w:sz="0"/>
              <w:bottom w:val="none" w:color="FFFFFF" w:sz="0"/>
              <w:right w:val="none" w:color="FFFFFF" w:sz="0"/>
            </w:tcBorders>
            <w:shd w:fill="F4F6FA" w:val="clear"/>
            <w:tcMar>
              <w:top w:type="dxa" w:w="100"/>
              <w:left w:type="dxa" w:w="100"/>
              <w:bottom w:type="dxa" w:w="100"/>
              <w:right w:type="dxa" w:w="100"/>
            </w:tcMar>
            <w:vAlign w:val="center"/>
          </w:tcPr>
          <w:p>
            <w:pPr>
              <w:spacing w:after="0"/>
              <w:jc w:val="center"/>
            </w:pPr>
            <w:r>
              <w:rPr>
                <w:rFonts w:ascii="Calibri" w:cs="Calibri" w:eastAsia="Calibri" w:hAnsi="Calibri"/>
                <w:b/>
                <w:bCs/>
                <w:color w:val="1F7B82"/>
                <w:sz w:val="22"/>
                <w:szCs w:val="22"/>
              </w:rPr>
              <w:t xml:space="preserve">7 FTE</w:t>
            </w:r>
          </w:p>
          <w:p>
            <w:pPr>
              <w:spacing w:after="0"/>
              <w:jc w:val="center"/>
            </w:pPr>
            <w:r>
              <w:rPr>
                <w:rFonts w:ascii="Calibri" w:cs="Calibri" w:eastAsia="Calibri" w:hAnsi="Calibri"/>
                <w:i/>
                <w:iCs/>
                <w:color w:val="5A6B8A"/>
                <w:sz w:val="16"/>
                <w:szCs w:val="16"/>
              </w:rPr>
              <w:t xml:space="preserve">at peak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8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FTE</w:t>
            </w:r>
          </w:p>
        </w:tc>
        <w:tc>
          <w:tcPr>
            <w:tcW w:type="dxa" w:w="506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Engineering Manager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Leads the team; people management</w:t>
            </w:r>
          </w:p>
        </w:tc>
      </w:tr>
      <w:tr>
        <w:trPr>
          <w:cantSplit/>
        </w:trP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Principal Platform Engineer</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Technical authority; defines IaC standards</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Senior Platform Engineers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EKS, Terraform, networking, observability stack</w:t>
            </w:r>
          </w:p>
        </w:tc>
      </w:tr>
      <w:tr>
        <w:trPr>
          <w:cantSplit/>
        </w:trP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SREs</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2</w:t>
            </w:r>
          </w:p>
        </w:tc>
        <w:tc>
          <w:tcPr>
            <w:tcW w:type="dxa" w:w="5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On-call rotation, SLO ownership, incident response</w:t>
            </w:r>
          </w:p>
        </w:tc>
      </w:tr>
    </w:tbl>
    <w:p>
      <w:pPr>
        <w:spacing w:after="200" w:line="300"/>
      </w:pPr>
      <w:r>
        <w:rPr>
          <w:rFonts w:ascii="Calibri" w:cs="Calibri" w:eastAsia="Calibri" w:hAnsi="Calibri"/>
          <w:color w:val="1F2A44"/>
          <w:sz w:val="22"/>
          <w:szCs w:val="22"/>
        </w:rPr>
        <w:t xml:space="preserve">Ramps first (Month 0–3). Owns the AWS landing zone, EKS clusters, Terraform module library, ArgoCD GitOps pipeline, OpenTelemetry collection, Prometheus/Grafana stack. Maintains the 24×7 on-call for shared platform services. By Month 3 they should have a self-service way for feature teams to deploy a new microservice with full observability in under one day.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6400"/>
        <w:gridCol w:w="2160"/>
      </w:tblGrid>
      <w:tr>
        <w:trPr>
          <w:cantSplit/>
        </w:trPr>
        <w:tc>
          <w:tcPr>
            <w:tcW w:type="dxa" w:w="800"/>
            <w:tcBorders>
              <w:top w:val="none" w:color="FFFFFF" w:sz="0"/>
              <w:left w:val="none" w:color="FFFFFF" w:sz="0"/>
              <w:bottom w:val="none" w:color="FFFFFF" w:sz="0"/>
              <w:right w:val="none" w:color="FFFFFF" w:sz="0"/>
            </w:tcBorders>
            <w:shd w:fill="1F7B82" w:val="clear"/>
            <w:tcMar>
              <w:top w:type="dxa" w:w="140"/>
              <w:left w:type="dxa" w:w="140"/>
              <w:bottom w:type="dxa" w:w="140"/>
              <w:right w:type="dxa" w:w="140"/>
            </w:tcMar>
            <w:vAlign w:val="center"/>
          </w:tcPr>
          <w:p>
            <w:pPr>
              <w:jc w:val="center"/>
            </w:pPr>
            <w:r>
              <w:rPr>
                <w:rFonts w:ascii="Calibri" w:cs="Calibri" w:eastAsia="Calibri" w:hAnsi="Calibri"/>
                <w:b/>
                <w:bCs/>
                <w:color w:val="FFFFFF"/>
                <w:sz w:val="36"/>
                <w:szCs w:val="36"/>
              </w:rPr>
              <w:t xml:space="preserve">4.2</w:t>
            </w:r>
          </w:p>
        </w:tc>
        <w:tc>
          <w:tcPr>
            <w:tcW w:type="dxa" w:w="6400"/>
            <w:tcBorders>
              <w:top w:val="none" w:color="FFFFFF" w:sz="0"/>
              <w:left w:val="none" w:color="FFFFFF" w:sz="0"/>
              <w:bottom w:val="none" w:color="FFFFFF" w:sz="0"/>
              <w:right w:val="none" w:color="FFFFFF" w:sz="0"/>
            </w:tcBorders>
            <w:tcMar>
              <w:top w:type="dxa" w:w="100"/>
              <w:left w:type="dxa" w:w="240"/>
              <w:bottom w:type="dxa" w:w="100"/>
              <w:right w:type="dxa" w:w="140"/>
            </w:tcMar>
            <w:vAlign w:val="center"/>
          </w:tcPr>
          <w:p>
            <w:pPr>
              <w:spacing w:after="40"/>
            </w:pPr>
            <w:r>
              <w:rPr>
                <w:rFonts w:ascii="Calibri" w:cs="Calibri" w:eastAsia="Calibri" w:hAnsi="Calibri"/>
                <w:b/>
                <w:bCs/>
                <w:color w:val="0B2447"/>
                <w:sz w:val="28"/>
                <w:szCs w:val="28"/>
              </w:rPr>
              <w:t xml:space="preserve">Data Platform</w:t>
            </w:r>
          </w:p>
          <w:p>
            <w:r>
              <w:rPr>
                <w:rFonts w:ascii="Calibri" w:cs="Calibri" w:eastAsia="Calibri" w:hAnsi="Calibri"/>
                <w:i/>
                <w:iCs/>
                <w:color w:val="5A6B8A"/>
                <w:sz w:val="18"/>
                <w:szCs w:val="18"/>
              </w:rPr>
              <w:t xml:space="preserve">Lakehouse, stream processing framework, batch ETL framework, dbt project, lineage and DQ</w:t>
            </w:r>
          </w:p>
        </w:tc>
        <w:tc>
          <w:tcPr>
            <w:tcW w:type="dxa" w:w="2160"/>
            <w:tcBorders>
              <w:top w:val="none" w:color="FFFFFF" w:sz="0"/>
              <w:left w:val="none" w:color="FFFFFF" w:sz="0"/>
              <w:bottom w:val="none" w:color="FFFFFF" w:sz="0"/>
              <w:right w:val="none" w:color="FFFFFF" w:sz="0"/>
            </w:tcBorders>
            <w:shd w:fill="F4F6FA" w:val="clear"/>
            <w:tcMar>
              <w:top w:type="dxa" w:w="100"/>
              <w:left w:type="dxa" w:w="100"/>
              <w:bottom w:type="dxa" w:w="100"/>
              <w:right w:type="dxa" w:w="100"/>
            </w:tcMar>
            <w:vAlign w:val="center"/>
          </w:tcPr>
          <w:p>
            <w:pPr>
              <w:spacing w:after="0"/>
              <w:jc w:val="center"/>
            </w:pPr>
            <w:r>
              <w:rPr>
                <w:rFonts w:ascii="Calibri" w:cs="Calibri" w:eastAsia="Calibri" w:hAnsi="Calibri"/>
                <w:b/>
                <w:bCs/>
                <w:color w:val="1F7B82"/>
                <w:sz w:val="22"/>
                <w:szCs w:val="22"/>
              </w:rPr>
              <w:t xml:space="preserve">8 FTE</w:t>
            </w:r>
          </w:p>
          <w:p>
            <w:pPr>
              <w:spacing w:after="0"/>
              <w:jc w:val="center"/>
            </w:pPr>
            <w:r>
              <w:rPr>
                <w:rFonts w:ascii="Calibri" w:cs="Calibri" w:eastAsia="Calibri" w:hAnsi="Calibri"/>
                <w:i/>
                <w:iCs/>
                <w:color w:val="5A6B8A"/>
                <w:sz w:val="16"/>
                <w:szCs w:val="16"/>
              </w:rPr>
              <w:t xml:space="preserve">at peak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8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FTE</w:t>
            </w:r>
          </w:p>
        </w:tc>
        <w:tc>
          <w:tcPr>
            <w:tcW w:type="dxa" w:w="506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Engineering Manager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Leads the team; people management</w:t>
            </w:r>
          </w:p>
        </w:tc>
      </w:tr>
      <w:tr>
        <w:trPr>
          <w:cantSplit/>
        </w:trP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Principal Data Engineer</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Technical authority; data contracts owner</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Senior Data Engineers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Iceberg, Spark, dbt, batch frameworks</w:t>
            </w:r>
          </w:p>
        </w:tc>
      </w:tr>
      <w:tr>
        <w:trPr>
          <w:cantSplit/>
        </w:trP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Stream Engineers</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2</w:t>
            </w:r>
          </w:p>
        </w:tc>
        <w:tc>
          <w:tcPr>
            <w:tcW w:type="dxa" w:w="5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Flink job framework, exactly-once semantics, checkpointing</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Data Quality / Catalog Engineer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Great Expectations, OpenMetadata, lineage capture</w:t>
            </w:r>
          </w:p>
        </w:tc>
      </w:tr>
    </w:tbl>
    <w:p>
      <w:pPr>
        <w:spacing w:after="200" w:line="300"/>
      </w:pPr>
      <w:r>
        <w:rPr>
          <w:rFonts w:ascii="Calibri" w:cs="Calibri" w:eastAsia="Calibri" w:hAnsi="Calibri"/>
          <w:color w:val="1F2A44"/>
          <w:sz w:val="22"/>
          <w:szCs w:val="22"/>
        </w:rPr>
        <w:t xml:space="preserve">Ramps in Months 1–3. Provides templates that feature teams use to ship their own pipelines — they do not write every pipeline themselves. The most senior member is the Principal Data Engineer, who is the platform-side owner of data contracts and works hand-in-glove with the Domain Architect for Data.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6400"/>
        <w:gridCol w:w="2160"/>
      </w:tblGrid>
      <w:tr>
        <w:trPr>
          <w:cantSplit/>
        </w:trPr>
        <w:tc>
          <w:tcPr>
            <w:tcW w:type="dxa" w:w="800"/>
            <w:tcBorders>
              <w:top w:val="none" w:color="FFFFFF" w:sz="0"/>
              <w:left w:val="none" w:color="FFFFFF" w:sz="0"/>
              <w:bottom w:val="none" w:color="FFFFFF" w:sz="0"/>
              <w:right w:val="none" w:color="FFFFFF" w:sz="0"/>
            </w:tcBorders>
            <w:shd w:fill="1F7B82" w:val="clear"/>
            <w:tcMar>
              <w:top w:type="dxa" w:w="140"/>
              <w:left w:type="dxa" w:w="140"/>
              <w:bottom w:type="dxa" w:w="140"/>
              <w:right w:type="dxa" w:w="140"/>
            </w:tcMar>
            <w:vAlign w:val="center"/>
          </w:tcPr>
          <w:p>
            <w:pPr>
              <w:jc w:val="center"/>
            </w:pPr>
            <w:r>
              <w:rPr>
                <w:rFonts w:ascii="Calibri" w:cs="Calibri" w:eastAsia="Calibri" w:hAnsi="Calibri"/>
                <w:b/>
                <w:bCs/>
                <w:color w:val="FFFFFF"/>
                <w:sz w:val="36"/>
                <w:szCs w:val="36"/>
              </w:rPr>
              <w:t xml:space="preserve">4.3</w:t>
            </w:r>
          </w:p>
        </w:tc>
        <w:tc>
          <w:tcPr>
            <w:tcW w:type="dxa" w:w="6400"/>
            <w:tcBorders>
              <w:top w:val="none" w:color="FFFFFF" w:sz="0"/>
              <w:left w:val="none" w:color="FFFFFF" w:sz="0"/>
              <w:bottom w:val="none" w:color="FFFFFF" w:sz="0"/>
              <w:right w:val="none" w:color="FFFFFF" w:sz="0"/>
            </w:tcBorders>
            <w:tcMar>
              <w:top w:type="dxa" w:w="100"/>
              <w:left w:type="dxa" w:w="240"/>
              <w:bottom w:type="dxa" w:w="100"/>
              <w:right w:type="dxa" w:w="140"/>
            </w:tcMar>
            <w:vAlign w:val="center"/>
          </w:tcPr>
          <w:p>
            <w:pPr>
              <w:spacing w:after="40"/>
            </w:pPr>
            <w:r>
              <w:rPr>
                <w:rFonts w:ascii="Calibri" w:cs="Calibri" w:eastAsia="Calibri" w:hAnsi="Calibri"/>
                <w:b/>
                <w:bCs/>
                <w:color w:val="0B2447"/>
                <w:sz w:val="28"/>
                <w:szCs w:val="28"/>
              </w:rPr>
              <w:t xml:space="preserve">Integration &amp; Messaging</w:t>
            </w:r>
          </w:p>
          <w:p>
            <w:r>
              <w:rPr>
                <w:rFonts w:ascii="Calibri" w:cs="Calibri" w:eastAsia="Calibri" w:hAnsi="Calibri"/>
                <w:i/>
                <w:iCs/>
                <w:color w:val="5A6B8A"/>
                <w:sz w:val="18"/>
                <w:szCs w:val="18"/>
              </w:rPr>
              <w:t xml:space="preserve">Solace, Kafka, FIX, SWIFT, schema registry, CCH connector framework, adapter templates</w:t>
            </w:r>
          </w:p>
        </w:tc>
        <w:tc>
          <w:tcPr>
            <w:tcW w:type="dxa" w:w="2160"/>
            <w:tcBorders>
              <w:top w:val="none" w:color="FFFFFF" w:sz="0"/>
              <w:left w:val="none" w:color="FFFFFF" w:sz="0"/>
              <w:bottom w:val="none" w:color="FFFFFF" w:sz="0"/>
              <w:right w:val="none" w:color="FFFFFF" w:sz="0"/>
            </w:tcBorders>
            <w:shd w:fill="F4F6FA" w:val="clear"/>
            <w:tcMar>
              <w:top w:type="dxa" w:w="100"/>
              <w:left w:type="dxa" w:w="100"/>
              <w:bottom w:type="dxa" w:w="100"/>
              <w:right w:type="dxa" w:w="100"/>
            </w:tcMar>
            <w:vAlign w:val="center"/>
          </w:tcPr>
          <w:p>
            <w:pPr>
              <w:spacing w:after="0"/>
              <w:jc w:val="center"/>
            </w:pPr>
            <w:r>
              <w:rPr>
                <w:rFonts w:ascii="Calibri" w:cs="Calibri" w:eastAsia="Calibri" w:hAnsi="Calibri"/>
                <w:b/>
                <w:bCs/>
                <w:color w:val="1F7B82"/>
                <w:sz w:val="22"/>
                <w:szCs w:val="22"/>
              </w:rPr>
              <w:t xml:space="preserve">7 FTE</w:t>
            </w:r>
          </w:p>
          <w:p>
            <w:pPr>
              <w:spacing w:after="0"/>
              <w:jc w:val="center"/>
            </w:pPr>
            <w:r>
              <w:rPr>
                <w:rFonts w:ascii="Calibri" w:cs="Calibri" w:eastAsia="Calibri" w:hAnsi="Calibri"/>
                <w:i/>
                <w:iCs/>
                <w:color w:val="5A6B8A"/>
                <w:sz w:val="16"/>
                <w:szCs w:val="16"/>
              </w:rPr>
              <w:t xml:space="preserve">at peak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8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FTE</w:t>
            </w:r>
          </w:p>
        </w:tc>
        <w:tc>
          <w:tcPr>
            <w:tcW w:type="dxa" w:w="506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Engineering Manager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Leads the team; people management</w:t>
            </w:r>
          </w:p>
        </w:tc>
      </w:tr>
      <w:tr>
        <w:trPr>
          <w:cantSplit/>
        </w:trP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Principal Integration Engineer</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Owns integration patterns; deep FIX / SWIFT background</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Senior Integration Engineers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4</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FIX, SWIFT, Solace administration, Kafka tuning</w:t>
            </w:r>
          </w:p>
        </w:tc>
      </w:tr>
      <w:tr>
        <w:trPr>
          <w:cantSplit/>
        </w:trP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Schema Steward</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Avro contracts, Schema Registry, breaking-change governance</w:t>
            </w:r>
          </w:p>
        </w:tc>
      </w:tr>
    </w:tbl>
    <w:p>
      <w:pPr>
        <w:spacing w:after="200" w:line="300"/>
      </w:pPr>
      <w:r>
        <w:rPr>
          <w:rFonts w:ascii="Calibri" w:cs="Calibri" w:eastAsia="Calibri" w:hAnsi="Calibri"/>
          <w:color w:val="1F2A44"/>
          <w:sz w:val="22"/>
          <w:szCs w:val="22"/>
        </w:rPr>
        <w:t xml:space="preserve">Heavily contractor-augmentable in the build phase — FIX, SWIFT and adapter work is a contractor-rich market. Steady-state team is permanent. Builds the per-CCH connector template that the Liquidity feature team uses to add CCHs in waves of 2–3 per quarter.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6400"/>
        <w:gridCol w:w="2160"/>
      </w:tblGrid>
      <w:tr>
        <w:trPr>
          <w:cantSplit/>
        </w:trPr>
        <w:tc>
          <w:tcPr>
            <w:tcW w:type="dxa" w:w="800"/>
            <w:tcBorders>
              <w:top w:val="none" w:color="FFFFFF" w:sz="0"/>
              <w:left w:val="none" w:color="FFFFFF" w:sz="0"/>
              <w:bottom w:val="none" w:color="FFFFFF" w:sz="0"/>
              <w:right w:val="none" w:color="FFFFFF" w:sz="0"/>
            </w:tcBorders>
            <w:shd w:fill="1F7B82" w:val="clear"/>
            <w:tcMar>
              <w:top w:type="dxa" w:w="140"/>
              <w:left w:type="dxa" w:w="140"/>
              <w:bottom w:type="dxa" w:w="140"/>
              <w:right w:type="dxa" w:w="140"/>
            </w:tcMar>
            <w:vAlign w:val="center"/>
          </w:tcPr>
          <w:p>
            <w:pPr>
              <w:jc w:val="center"/>
            </w:pPr>
            <w:r>
              <w:rPr>
                <w:rFonts w:ascii="Calibri" w:cs="Calibri" w:eastAsia="Calibri" w:hAnsi="Calibri"/>
                <w:b/>
                <w:bCs/>
                <w:color w:val="FFFFFF"/>
                <w:sz w:val="36"/>
                <w:szCs w:val="36"/>
              </w:rPr>
              <w:t xml:space="preserve">4.4</w:t>
            </w:r>
          </w:p>
        </w:tc>
        <w:tc>
          <w:tcPr>
            <w:tcW w:type="dxa" w:w="6400"/>
            <w:tcBorders>
              <w:top w:val="none" w:color="FFFFFF" w:sz="0"/>
              <w:left w:val="none" w:color="FFFFFF" w:sz="0"/>
              <w:bottom w:val="none" w:color="FFFFFF" w:sz="0"/>
              <w:right w:val="none" w:color="FFFFFF" w:sz="0"/>
            </w:tcBorders>
            <w:tcMar>
              <w:top w:type="dxa" w:w="100"/>
              <w:left w:type="dxa" w:w="240"/>
              <w:bottom w:type="dxa" w:w="100"/>
              <w:right w:type="dxa" w:w="140"/>
            </w:tcMar>
            <w:vAlign w:val="center"/>
          </w:tcPr>
          <w:p>
            <w:pPr>
              <w:spacing w:after="40"/>
            </w:pPr>
            <w:r>
              <w:rPr>
                <w:rFonts w:ascii="Calibri" w:cs="Calibri" w:eastAsia="Calibri" w:hAnsi="Calibri"/>
                <w:b/>
                <w:bCs/>
                <w:color w:val="0B2447"/>
                <w:sz w:val="28"/>
                <w:szCs w:val="28"/>
              </w:rPr>
              <w:t xml:space="preserve">UI Platform / Design System</w:t>
            </w:r>
          </w:p>
          <w:p>
            <w:r>
              <w:rPr>
                <w:rFonts w:ascii="Calibri" w:cs="Calibri" w:eastAsia="Calibri" w:hAnsi="Calibri"/>
                <w:i/>
                <w:iCs/>
                <w:color w:val="5A6B8A"/>
                <w:sz w:val="18"/>
                <w:szCs w:val="18"/>
              </w:rPr>
              <w:t xml:space="preserve">Design system, application shell, navigation, auth, shared components, WebSocket client</w:t>
            </w:r>
          </w:p>
        </w:tc>
        <w:tc>
          <w:tcPr>
            <w:tcW w:type="dxa" w:w="2160"/>
            <w:tcBorders>
              <w:top w:val="none" w:color="FFFFFF" w:sz="0"/>
              <w:left w:val="none" w:color="FFFFFF" w:sz="0"/>
              <w:bottom w:val="none" w:color="FFFFFF" w:sz="0"/>
              <w:right w:val="none" w:color="FFFFFF" w:sz="0"/>
            </w:tcBorders>
            <w:shd w:fill="F4F6FA" w:val="clear"/>
            <w:tcMar>
              <w:top w:type="dxa" w:w="100"/>
              <w:left w:type="dxa" w:w="100"/>
              <w:bottom w:type="dxa" w:w="100"/>
              <w:right w:type="dxa" w:w="100"/>
            </w:tcMar>
            <w:vAlign w:val="center"/>
          </w:tcPr>
          <w:p>
            <w:pPr>
              <w:spacing w:after="0"/>
              <w:jc w:val="center"/>
            </w:pPr>
            <w:r>
              <w:rPr>
                <w:rFonts w:ascii="Calibri" w:cs="Calibri" w:eastAsia="Calibri" w:hAnsi="Calibri"/>
                <w:b/>
                <w:bCs/>
                <w:color w:val="1F7B82"/>
                <w:sz w:val="22"/>
                <w:szCs w:val="22"/>
              </w:rPr>
              <w:t xml:space="preserve">6 FTE</w:t>
            </w:r>
          </w:p>
          <w:p>
            <w:pPr>
              <w:spacing w:after="0"/>
              <w:jc w:val="center"/>
            </w:pPr>
            <w:r>
              <w:rPr>
                <w:rFonts w:ascii="Calibri" w:cs="Calibri" w:eastAsia="Calibri" w:hAnsi="Calibri"/>
                <w:i/>
                <w:iCs/>
                <w:color w:val="5A6B8A"/>
                <w:sz w:val="16"/>
                <w:szCs w:val="16"/>
              </w:rPr>
              <w:t xml:space="preserve">at peak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8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FTE</w:t>
            </w:r>
          </w:p>
        </w:tc>
        <w:tc>
          <w:tcPr>
            <w:tcW w:type="dxa" w:w="506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Engineering Manager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Leads the team; people management</w:t>
            </w:r>
          </w:p>
        </w:tc>
      </w:tr>
      <w:tr>
        <w:trPr>
          <w:cantSplit/>
        </w:trP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Principal Frontend Engineer</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Owns React architecture and design-system technical standards</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Senior Frontend Engineers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2</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Design system components, shell, build tooling</w:t>
            </w:r>
          </w:p>
        </w:tc>
      </w:tr>
      <w:tr>
        <w:trPr>
          <w:cantSplit/>
        </w:trP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Senior UX Designer</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Design system visual and interaction language</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Accessibility &amp; Pattern Specialist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WCAG 2.1 AA conformance; pattern library curation</w:t>
            </w:r>
          </w:p>
        </w:tc>
      </w:tr>
    </w:tbl>
    <w:p>
      <w:pPr>
        <w:spacing w:after="200" w:line="300"/>
      </w:pPr>
      <w:r>
        <w:rPr>
          <w:rFonts w:ascii="Calibri" w:cs="Calibri" w:eastAsia="Calibri" w:hAnsi="Calibri"/>
          <w:color w:val="1F2A44"/>
          <w:sz w:val="22"/>
          <w:szCs w:val="22"/>
        </w:rPr>
        <w:t xml:space="preserve">Feature teams build their domain screens inside the shell and components this team publishes. Accessibility is a first-class role from day one — easier to embed than to retrofit, particularly for a regulated environment where accessibility may become a published commitment.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6400"/>
        <w:gridCol w:w="2160"/>
      </w:tblGrid>
      <w:tr>
        <w:trPr>
          <w:cantSplit/>
        </w:trPr>
        <w:tc>
          <w:tcPr>
            <w:tcW w:type="dxa" w:w="800"/>
            <w:tcBorders>
              <w:top w:val="none" w:color="FFFFFF" w:sz="0"/>
              <w:left w:val="none" w:color="FFFFFF" w:sz="0"/>
              <w:bottom w:val="none" w:color="FFFFFF" w:sz="0"/>
              <w:right w:val="none" w:color="FFFFFF" w:sz="0"/>
            </w:tcBorders>
            <w:shd w:fill="1F7B82" w:val="clear"/>
            <w:tcMar>
              <w:top w:type="dxa" w:w="140"/>
              <w:left w:type="dxa" w:w="140"/>
              <w:bottom w:type="dxa" w:w="140"/>
              <w:right w:type="dxa" w:w="140"/>
            </w:tcMar>
            <w:vAlign w:val="center"/>
          </w:tcPr>
          <w:p>
            <w:pPr>
              <w:jc w:val="center"/>
            </w:pPr>
            <w:r>
              <w:rPr>
                <w:rFonts w:ascii="Calibri" w:cs="Calibri" w:eastAsia="Calibri" w:hAnsi="Calibri"/>
                <w:b/>
                <w:bCs/>
                <w:color w:val="FFFFFF"/>
                <w:sz w:val="36"/>
                <w:szCs w:val="36"/>
              </w:rPr>
              <w:t xml:space="preserve">4.5</w:t>
            </w:r>
          </w:p>
        </w:tc>
        <w:tc>
          <w:tcPr>
            <w:tcW w:type="dxa" w:w="6400"/>
            <w:tcBorders>
              <w:top w:val="none" w:color="FFFFFF" w:sz="0"/>
              <w:left w:val="none" w:color="FFFFFF" w:sz="0"/>
              <w:bottom w:val="none" w:color="FFFFFF" w:sz="0"/>
              <w:right w:val="none" w:color="FFFFFF" w:sz="0"/>
            </w:tcBorders>
            <w:tcMar>
              <w:top w:type="dxa" w:w="100"/>
              <w:left w:type="dxa" w:w="240"/>
              <w:bottom w:type="dxa" w:w="100"/>
              <w:right w:type="dxa" w:w="140"/>
            </w:tcMar>
            <w:vAlign w:val="center"/>
          </w:tcPr>
          <w:p>
            <w:pPr>
              <w:spacing w:after="40"/>
            </w:pPr>
            <w:r>
              <w:rPr>
                <w:rFonts w:ascii="Calibri" w:cs="Calibri" w:eastAsia="Calibri" w:hAnsi="Calibri"/>
                <w:b/>
                <w:bCs/>
                <w:color w:val="0B2447"/>
                <w:sz w:val="28"/>
                <w:szCs w:val="28"/>
              </w:rPr>
              <w:t xml:space="preserve">Orchestration &amp; Workflow</w:t>
            </w:r>
          </w:p>
          <w:p>
            <w:r>
              <w:rPr>
                <w:rFonts w:ascii="Calibri" w:cs="Calibri" w:eastAsia="Calibri" w:hAnsi="Calibri"/>
                <w:i/>
                <w:iCs/>
                <w:color w:val="5A6B8A"/>
                <w:sz w:val="18"/>
                <w:szCs w:val="18"/>
              </w:rPr>
              <w:t xml:space="preserve">Temporal, Drools, Airflow, workflow visualisation in Ops console</w:t>
            </w:r>
          </w:p>
        </w:tc>
        <w:tc>
          <w:tcPr>
            <w:tcW w:type="dxa" w:w="2160"/>
            <w:tcBorders>
              <w:top w:val="none" w:color="FFFFFF" w:sz="0"/>
              <w:left w:val="none" w:color="FFFFFF" w:sz="0"/>
              <w:bottom w:val="none" w:color="FFFFFF" w:sz="0"/>
              <w:right w:val="none" w:color="FFFFFF" w:sz="0"/>
            </w:tcBorders>
            <w:shd w:fill="F4F6FA" w:val="clear"/>
            <w:tcMar>
              <w:top w:type="dxa" w:w="100"/>
              <w:left w:type="dxa" w:w="100"/>
              <w:bottom w:type="dxa" w:w="100"/>
              <w:right w:type="dxa" w:w="100"/>
            </w:tcMar>
            <w:vAlign w:val="center"/>
          </w:tcPr>
          <w:p>
            <w:pPr>
              <w:spacing w:after="0"/>
              <w:jc w:val="center"/>
            </w:pPr>
            <w:r>
              <w:rPr>
                <w:rFonts w:ascii="Calibri" w:cs="Calibri" w:eastAsia="Calibri" w:hAnsi="Calibri"/>
                <w:b/>
                <w:bCs/>
                <w:color w:val="1F7B82"/>
                <w:sz w:val="22"/>
                <w:szCs w:val="22"/>
              </w:rPr>
              <w:t xml:space="preserve">6 FTE</w:t>
            </w:r>
          </w:p>
          <w:p>
            <w:pPr>
              <w:spacing w:after="0"/>
              <w:jc w:val="center"/>
            </w:pPr>
            <w:r>
              <w:rPr>
                <w:rFonts w:ascii="Calibri" w:cs="Calibri" w:eastAsia="Calibri" w:hAnsi="Calibri"/>
                <w:i/>
                <w:iCs/>
                <w:color w:val="5A6B8A"/>
                <w:sz w:val="16"/>
                <w:szCs w:val="16"/>
              </w:rPr>
              <w:t xml:space="preserve">at peak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8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FTE</w:t>
            </w:r>
          </w:p>
        </w:tc>
        <w:tc>
          <w:tcPr>
            <w:tcW w:type="dxa" w:w="506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Engineering Manager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Leads the team; people management</w:t>
            </w:r>
          </w:p>
        </w:tc>
      </w:tr>
      <w:tr>
        <w:trPr>
          <w:cantSplit/>
        </w:trP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Principal Engineer</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Owns workflow patterns; saga design authority</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Senior Engineers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Temporal, Drools, Airflow</w:t>
            </w:r>
          </w:p>
        </w:tc>
      </w:tr>
      <w:tr>
        <w:trPr>
          <w:cantSplit/>
        </w:trP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Workflow Designer / BA</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Models workflows with risk SMEs; owns rule documentation</w:t>
            </w:r>
          </w:p>
        </w:tc>
      </w:tr>
    </w:tbl>
    <w:p>
      <w:pPr>
        <w:spacing w:after="200" w:line="300"/>
      </w:pPr>
      <w:r>
        <w:rPr>
          <w:rFonts w:ascii="Calibri" w:cs="Calibri" w:eastAsia="Calibri" w:hAnsi="Calibri"/>
          <w:color w:val="1F2A44"/>
          <w:sz w:val="22"/>
          <w:szCs w:val="22"/>
        </w:rPr>
        <w:t xml:space="preserve">Feature teams author their domain workflows and rules using this team’s framework. The Workflow Designer is a hybrid technical/business role — a rare profile but high leverage when found.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6400"/>
        <w:gridCol w:w="2160"/>
      </w:tblGrid>
      <w:tr>
        <w:trPr>
          <w:cantSplit/>
        </w:trPr>
        <w:tc>
          <w:tcPr>
            <w:tcW w:type="dxa" w:w="800"/>
            <w:tcBorders>
              <w:top w:val="none" w:color="FFFFFF" w:sz="0"/>
              <w:left w:val="none" w:color="FFFFFF" w:sz="0"/>
              <w:bottom w:val="none" w:color="FFFFFF" w:sz="0"/>
              <w:right w:val="none" w:color="FFFFFF" w:sz="0"/>
            </w:tcBorders>
            <w:shd w:fill="1F7B82" w:val="clear"/>
            <w:tcMar>
              <w:top w:type="dxa" w:w="140"/>
              <w:left w:type="dxa" w:w="140"/>
              <w:bottom w:type="dxa" w:w="140"/>
              <w:right w:type="dxa" w:w="140"/>
            </w:tcMar>
            <w:vAlign w:val="center"/>
          </w:tcPr>
          <w:p>
            <w:pPr>
              <w:jc w:val="center"/>
            </w:pPr>
            <w:r>
              <w:rPr>
                <w:rFonts w:ascii="Calibri" w:cs="Calibri" w:eastAsia="Calibri" w:hAnsi="Calibri"/>
                <w:b/>
                <w:bCs/>
                <w:color w:val="FFFFFF"/>
                <w:sz w:val="36"/>
                <w:szCs w:val="36"/>
              </w:rPr>
              <w:t xml:space="preserve">4.6</w:t>
            </w:r>
          </w:p>
        </w:tc>
        <w:tc>
          <w:tcPr>
            <w:tcW w:type="dxa" w:w="6400"/>
            <w:tcBorders>
              <w:top w:val="none" w:color="FFFFFF" w:sz="0"/>
              <w:left w:val="none" w:color="FFFFFF" w:sz="0"/>
              <w:bottom w:val="none" w:color="FFFFFF" w:sz="0"/>
              <w:right w:val="none" w:color="FFFFFF" w:sz="0"/>
            </w:tcBorders>
            <w:tcMar>
              <w:top w:type="dxa" w:w="100"/>
              <w:left w:type="dxa" w:w="240"/>
              <w:bottom w:type="dxa" w:w="100"/>
              <w:right w:type="dxa" w:w="140"/>
            </w:tcMar>
            <w:vAlign w:val="center"/>
          </w:tcPr>
          <w:p>
            <w:pPr>
              <w:spacing w:after="40"/>
            </w:pPr>
            <w:r>
              <w:rPr>
                <w:rFonts w:ascii="Calibri" w:cs="Calibri" w:eastAsia="Calibri" w:hAnsi="Calibri"/>
                <w:b/>
                <w:bCs/>
                <w:color w:val="0B2447"/>
                <w:sz w:val="28"/>
                <w:szCs w:val="28"/>
              </w:rPr>
              <w:t xml:space="preserve">Quant Library</w:t>
            </w:r>
          </w:p>
          <w:p>
            <w:r>
              <w:rPr>
                <w:rFonts w:ascii="Calibri" w:cs="Calibri" w:eastAsia="Calibri" w:hAnsi="Calibri"/>
                <w:i/>
                <w:iCs/>
                <w:color w:val="5A6B8A"/>
                <w:sz w:val="18"/>
                <w:szCs w:val="18"/>
              </w:rPr>
              <w:t xml:space="preserve">Shared pricing library, curve construction, scenario generators, distributed compute on Ray</w:t>
            </w:r>
          </w:p>
        </w:tc>
        <w:tc>
          <w:tcPr>
            <w:tcW w:type="dxa" w:w="2160"/>
            <w:tcBorders>
              <w:top w:val="none" w:color="FFFFFF" w:sz="0"/>
              <w:left w:val="none" w:color="FFFFFF" w:sz="0"/>
              <w:bottom w:val="none" w:color="FFFFFF" w:sz="0"/>
              <w:right w:val="none" w:color="FFFFFF" w:sz="0"/>
            </w:tcBorders>
            <w:shd w:fill="F4F6FA" w:val="clear"/>
            <w:tcMar>
              <w:top w:type="dxa" w:w="100"/>
              <w:left w:type="dxa" w:w="100"/>
              <w:bottom w:type="dxa" w:w="100"/>
              <w:right w:type="dxa" w:w="100"/>
            </w:tcMar>
            <w:vAlign w:val="center"/>
          </w:tcPr>
          <w:p>
            <w:pPr>
              <w:spacing w:after="0"/>
              <w:jc w:val="center"/>
            </w:pPr>
            <w:r>
              <w:rPr>
                <w:rFonts w:ascii="Calibri" w:cs="Calibri" w:eastAsia="Calibri" w:hAnsi="Calibri"/>
                <w:b/>
                <w:bCs/>
                <w:color w:val="1F7B82"/>
                <w:sz w:val="22"/>
                <w:szCs w:val="22"/>
              </w:rPr>
              <w:t xml:space="preserve">5 FTE</w:t>
            </w:r>
          </w:p>
          <w:p>
            <w:pPr>
              <w:spacing w:after="0"/>
              <w:jc w:val="center"/>
            </w:pPr>
            <w:r>
              <w:rPr>
                <w:rFonts w:ascii="Calibri" w:cs="Calibri" w:eastAsia="Calibri" w:hAnsi="Calibri"/>
                <w:i/>
                <w:iCs/>
                <w:color w:val="5A6B8A"/>
                <w:sz w:val="16"/>
                <w:szCs w:val="16"/>
              </w:rPr>
              <w:t xml:space="preserve">at peak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8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FTE</w:t>
            </w:r>
          </w:p>
        </w:tc>
        <w:tc>
          <w:tcPr>
            <w:tcW w:type="dxa" w:w="506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Engineering Manager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Leads the team; people management</w:t>
            </w:r>
          </w:p>
        </w:tc>
      </w:tr>
      <w:tr>
        <w:trPr>
          <w:cantSplit/>
        </w:trP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Lead Quant Developer</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Bridge to front-office quant function; deep methodology</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Senior Quant Developers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QuantLib, NumPy/SciPy, Ray, scenario engine</w:t>
            </w:r>
          </w:p>
        </w:tc>
      </w:tr>
    </w:tbl>
    <w:p>
      <w:pPr>
        <w:spacing w:after="200" w:line="300"/>
      </w:pPr>
      <w:r>
        <w:rPr>
          <w:rFonts w:ascii="Calibri" w:cs="Calibri" w:eastAsia="Calibri" w:hAnsi="Calibri"/>
          <w:color w:val="1F2A44"/>
          <w:sz w:val="22"/>
          <w:szCs w:val="22"/>
        </w:rPr>
        <w:t xml:space="preserve">Critical role: this team is the bridge between the front-office quant culture and the engineering culture of the platform. It prevents every risk feature team reinventing pricing, and it is the natural home for the production-grade implementation of methodology agreed with the front office. The Lead Quant Developer should ideally be seconded from, or have a strong working relationship with, the existing front-office quant function.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6400"/>
        <w:gridCol w:w="2160"/>
      </w:tblGrid>
      <w:tr>
        <w:trPr>
          <w:cantSplit/>
        </w:trPr>
        <w:tc>
          <w:tcPr>
            <w:tcW w:type="dxa" w:w="800"/>
            <w:tcBorders>
              <w:top w:val="none" w:color="FFFFFF" w:sz="0"/>
              <w:left w:val="none" w:color="FFFFFF" w:sz="0"/>
              <w:bottom w:val="none" w:color="FFFFFF" w:sz="0"/>
              <w:right w:val="none" w:color="FFFFFF" w:sz="0"/>
            </w:tcBorders>
            <w:shd w:fill="1F7B82" w:val="clear"/>
            <w:tcMar>
              <w:top w:type="dxa" w:w="140"/>
              <w:left w:type="dxa" w:w="140"/>
              <w:bottom w:type="dxa" w:w="140"/>
              <w:right w:type="dxa" w:w="140"/>
            </w:tcMar>
            <w:vAlign w:val="center"/>
          </w:tcPr>
          <w:p>
            <w:pPr>
              <w:jc w:val="center"/>
            </w:pPr>
            <w:r>
              <w:rPr>
                <w:rFonts w:ascii="Calibri" w:cs="Calibri" w:eastAsia="Calibri" w:hAnsi="Calibri"/>
                <w:b/>
                <w:bCs/>
                <w:color w:val="FFFFFF"/>
                <w:sz w:val="36"/>
                <w:szCs w:val="36"/>
              </w:rPr>
              <w:t xml:space="preserve">4.7</w:t>
            </w:r>
          </w:p>
        </w:tc>
        <w:tc>
          <w:tcPr>
            <w:tcW w:type="dxa" w:w="6400"/>
            <w:tcBorders>
              <w:top w:val="none" w:color="FFFFFF" w:sz="0"/>
              <w:left w:val="none" w:color="FFFFFF" w:sz="0"/>
              <w:bottom w:val="none" w:color="FFFFFF" w:sz="0"/>
              <w:right w:val="none" w:color="FFFFFF" w:sz="0"/>
            </w:tcBorders>
            <w:tcMar>
              <w:top w:type="dxa" w:w="100"/>
              <w:left w:type="dxa" w:w="240"/>
              <w:bottom w:type="dxa" w:w="100"/>
              <w:right w:type="dxa" w:w="140"/>
            </w:tcMar>
            <w:vAlign w:val="center"/>
          </w:tcPr>
          <w:p>
            <w:pPr>
              <w:spacing w:after="40"/>
            </w:pPr>
            <w:r>
              <w:rPr>
                <w:rFonts w:ascii="Calibri" w:cs="Calibri" w:eastAsia="Calibri" w:hAnsi="Calibri"/>
                <w:b/>
                <w:bCs/>
                <w:color w:val="0B2447"/>
                <w:sz w:val="28"/>
                <w:szCs w:val="28"/>
              </w:rPr>
              <w:t xml:space="preserve">Identity, Security &amp; Governance</w:t>
            </w:r>
          </w:p>
          <w:p>
            <w:r>
              <w:rPr>
                <w:rFonts w:ascii="Calibri" w:cs="Calibri" w:eastAsia="Calibri" w:hAnsi="Calibri"/>
                <w:i/>
                <w:iCs/>
                <w:color w:val="5A6B8A"/>
                <w:sz w:val="18"/>
                <w:szCs w:val="18"/>
              </w:rPr>
              <w:t xml:space="preserve">IdP integration, Vault, RBAC framework, audit trail, encryption, lineage, threat assurance</w:t>
            </w:r>
          </w:p>
        </w:tc>
        <w:tc>
          <w:tcPr>
            <w:tcW w:type="dxa" w:w="2160"/>
            <w:tcBorders>
              <w:top w:val="none" w:color="FFFFFF" w:sz="0"/>
              <w:left w:val="none" w:color="FFFFFF" w:sz="0"/>
              <w:bottom w:val="none" w:color="FFFFFF" w:sz="0"/>
              <w:right w:val="none" w:color="FFFFFF" w:sz="0"/>
            </w:tcBorders>
            <w:shd w:fill="F4F6FA" w:val="clear"/>
            <w:tcMar>
              <w:top w:type="dxa" w:w="100"/>
              <w:left w:type="dxa" w:w="100"/>
              <w:bottom w:type="dxa" w:w="100"/>
              <w:right w:type="dxa" w:w="100"/>
            </w:tcMar>
            <w:vAlign w:val="center"/>
          </w:tcPr>
          <w:p>
            <w:pPr>
              <w:spacing w:after="0"/>
              <w:jc w:val="center"/>
            </w:pPr>
            <w:r>
              <w:rPr>
                <w:rFonts w:ascii="Calibri" w:cs="Calibri" w:eastAsia="Calibri" w:hAnsi="Calibri"/>
                <w:b/>
                <w:bCs/>
                <w:color w:val="1F7B82"/>
                <w:sz w:val="22"/>
                <w:szCs w:val="22"/>
              </w:rPr>
              <w:t xml:space="preserve">6 FTE</w:t>
            </w:r>
          </w:p>
          <w:p>
            <w:pPr>
              <w:spacing w:after="0"/>
              <w:jc w:val="center"/>
            </w:pPr>
            <w:r>
              <w:rPr>
                <w:rFonts w:ascii="Calibri" w:cs="Calibri" w:eastAsia="Calibri" w:hAnsi="Calibri"/>
                <w:i/>
                <w:iCs/>
                <w:color w:val="5A6B8A"/>
                <w:sz w:val="16"/>
                <w:szCs w:val="16"/>
              </w:rPr>
              <w:t xml:space="preserve">at peak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8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FTE</w:t>
            </w:r>
          </w:p>
        </w:tc>
        <w:tc>
          <w:tcPr>
            <w:tcW w:type="dxa" w:w="506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Engineering Manager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Leads the team; people management</w:t>
            </w:r>
          </w:p>
        </w:tc>
      </w:tr>
      <w:tr>
        <w:trPr>
          <w:cantSplit/>
        </w:trP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Principal Security Engineer</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Owns the security architecture; CISO-side liaison</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Senior Engineers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2</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IdP, Vault, RBAC, audit trail plumbing</w:t>
            </w:r>
          </w:p>
        </w:tc>
      </w:tr>
      <w:tr>
        <w:trPr>
          <w:cantSplit/>
        </w:trP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Compliance Engineer</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Lineage capture, audit evidence pack, SR 11-7 / SS1/23 controls</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Threat / Pen-test Engineer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Threat modelling, pen testing, red-team coordination</w:t>
            </w:r>
          </w:p>
        </w:tc>
      </w:tr>
    </w:tbl>
    <w:p>
      <w:pPr>
        <w:spacing w:after="200" w:line="300"/>
      </w:pPr>
      <w:r>
        <w:rPr>
          <w:rFonts w:ascii="Calibri" w:cs="Calibri" w:eastAsia="Calibri" w:hAnsi="Calibri"/>
          <w:color w:val="1F2A44"/>
          <w:sz w:val="22"/>
          <w:szCs w:val="22"/>
        </w:rPr>
        <w:t xml:space="preserve">Heavily engaged with the Risk &amp; Compliance Lead and Model Risk Lead. Owns the audit evidence pack — the artefact most heavily scrutinised in any PRA / FCA review.</w:t>
      </w:r>
    </w:p>
    <w:p>
      <w:r>
        <w:br w:type="page"/>
      </w:r>
    </w:p>
    <w:p>
      <w:pPr>
        <w:pStyle w:val="Heading1"/>
        <w:pBdr>
          <w:bottom w:val="single" w:color="C8841A" w:sz="12" w:space="6"/>
        </w:pBdr>
        <w:spacing w:after="160" w:before="320"/>
      </w:pPr>
      <w:r>
        <w:rPr>
          <w:rFonts w:ascii="Calibri" w:cs="Calibri" w:eastAsia="Calibri" w:hAnsi="Calibri"/>
          <w:b/>
          <w:bCs/>
          <w:color w:val="0B2447"/>
          <w:sz w:val="32"/>
          <w:szCs w:val="32"/>
        </w:rPr>
        <w:t xml:space="preserve">5. Risk Feature Teams — 36 FTE</w:t>
      </w:r>
    </w:p>
    <w:p>
      <w:pPr>
        <w:spacing w:after="120" w:line="300"/>
      </w:pPr>
      <w:r>
        <w:rPr>
          <w:rFonts w:ascii="Calibri" w:cs="Calibri" w:eastAsia="Calibri" w:hAnsi="Calibri"/>
          <w:color w:val="1F2A44"/>
          <w:sz w:val="22"/>
          <w:szCs w:val="22"/>
        </w:rPr>
        <w:t xml:space="preserve">Three feature teams own the three risk domains end-to-end: Credit, Market, Liquidity. Each has the same standard shape — twelve roles spanning engineering, quant, frontend, product, risk SME, BA and QA — with minor variations driven by the technical specifics of the domain (Liquidity is more integration-heavy; Market and Credit are more quant-heavy).</w:t>
      </w:r>
    </w:p>
    <w:p>
      <w:pPr>
        <w:spacing w:after="120" w:line="300"/>
      </w:pPr>
      <w:r>
        <w:rPr>
          <w:rFonts w:ascii="Calibri" w:cs="Calibri" w:eastAsia="Calibri" w:hAnsi="Calibri"/>
          <w:color w:val="1F2A44"/>
          <w:sz w:val="22"/>
          <w:szCs w:val="22"/>
        </w:rPr>
        <w:t xml:space="preserve">Each team is a true two-pizza team: small enough that everyone knows what everyone else is doing, large enough to deliver a vertical slice without constant cross-team blocking. The deliberate inclusion of an embedded Risk SME and a BA distinguishes a feature team in this regulated context from a generic agile team — the cost of misunderstanding a risk methodology or a regulatory requirement is asymmetric.</w:t>
      </w:r>
    </w:p>
    <w:p>
      <w:pPr>
        <w:pStyle w:val="Heading2"/>
        <w:spacing w:after="100" w:before="240"/>
      </w:pPr>
      <w:r>
        <w:rPr>
          <w:rFonts w:ascii="Calibri" w:cs="Calibri" w:eastAsia="Calibri" w:hAnsi="Calibri"/>
          <w:b/>
          <w:bCs/>
          <w:color w:val="19376D"/>
          <w:sz w:val="26"/>
          <w:szCs w:val="26"/>
        </w:rPr>
        <w:t xml:space="preserve">5.1 Standard risk feature team shape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460"/>
      </w:tblGrid>
      <w:tr>
        <w:trPr>
          <w:tblHeader/>
        </w:trPr>
        <w:tc>
          <w:tcPr>
            <w:tcW w:type="dxa" w:w="22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7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FTE</w:t>
            </w:r>
          </w:p>
        </w:tc>
        <w:tc>
          <w:tcPr>
            <w:tcW w:type="dxa" w:w="646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Responsibilities</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Engineering Manager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People management; delivery; team health</w:t>
            </w:r>
          </w:p>
        </w:tc>
      </w:tr>
      <w:tr>
        <w:trPr>
          <w:cantSplit/>
        </w:trP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Tech Lead (Staff/Senior)</w:t>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6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Technical accountability; design authority representative</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Senior Backend Engineers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3</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Calculation engine; APIs; BFF; data pipelines</w:t>
            </w:r>
          </w:p>
        </w:tc>
      </w:tr>
      <w:tr>
        <w:trPr>
          <w:cantSplit/>
        </w:trP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Quant Developer</w:t>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1–2</w:t>
            </w:r>
          </w:p>
        </w:tc>
        <w:tc>
          <w:tcPr>
            <w:tcW w:type="dxa" w:w="6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Domain-specific quant code; model implementation; back-testing</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Frontend Engineers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2</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Domain screens across Broker / Ops UI surfaces</w:t>
            </w:r>
          </w:p>
        </w:tc>
      </w:tr>
      <w:tr>
        <w:trPr>
          <w:cantSplit/>
        </w:trP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Product Owner</w:t>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6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Domain roadmap; business prioritisation; stakeholder management</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Risk SME (embedded)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Internal expert seconded from 1st-line risk function</w:t>
            </w:r>
          </w:p>
        </w:tc>
      </w:tr>
      <w:tr>
        <w:trPr>
          <w:cantSplit/>
        </w:trP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Business Analyst</w:t>
            </w:r>
          </w:p>
        </w:tc>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6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Regulatory requirements; integration discovery; UAT</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QA Engineer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Test automation; NFR verification; regression suite</w:t>
            </w:r>
          </w:p>
        </w:tc>
      </w:tr>
    </w:tbl>
    <w:p>
      <w:pPr>
        <w:pStyle w:val="Heading2"/>
        <w:spacing w:after="100" w:before="240"/>
      </w:pPr>
      <w:r>
        <w:rPr>
          <w:rFonts w:ascii="Calibri" w:cs="Calibri" w:eastAsia="Calibri" w:hAnsi="Calibri"/>
          <w:b/>
          <w:bCs/>
          <w:color w:val="19376D"/>
          <w:sz w:val="26"/>
          <w:szCs w:val="26"/>
        </w:rPr>
        <w:t xml:space="preserve">5.2 Team variations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4760"/>
        <w:gridCol w:w="2200"/>
      </w:tblGrid>
      <w:tr>
        <w:trPr>
          <w:tblHeader/>
        </w:trPr>
        <w:tc>
          <w:tcPr>
            <w:tcW w:type="dxa" w:w="18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Team</w:t>
            </w:r>
          </w:p>
        </w:tc>
        <w:tc>
          <w:tcPr>
            <w:tcW w:type="dxa" w:w="6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FTE</w:t>
            </w:r>
          </w:p>
        </w:tc>
        <w:tc>
          <w:tcPr>
            <w:tcW w:type="dxa" w:w="476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Key variation</w:t>
            </w:r>
          </w:p>
        </w:tc>
        <w:tc>
          <w:tcPr>
            <w:tcW w:type="dxa" w:w="22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Phase focus</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Credit Risk</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2 Quant Developers (EAD / PFE / CVA / wrong-way risk complexity)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Phase 1 (M3–9) — first vertical slice; thin end-to-end through to Broker pre-deal check</w:t>
            </w:r>
          </w:p>
        </w:tc>
      </w:tr>
      <w:tr>
        <w:trPr>
          <w:cantSplit/>
        </w:trP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Market Risk</w:t>
            </w:r>
          </w:p>
        </w:tc>
        <w:tc>
          <w:tcPr>
            <w:tcW w:type="dxa" w:w="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12</w:t>
            </w:r>
          </w:p>
        </w:tc>
        <w:tc>
          <w:tcPr>
            <w:tcW w:type="dxa" w:w="4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2 Quant Developers (VaR / ES / sensitivities / scenario engine)</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Phase 2 (M9–15) — adds intra-day market risk for facilitation business</w:t>
            </w:r>
          </w:p>
        </w:tc>
      </w:tr>
      <w:tr>
        <w:trPr>
          <w:cantSplit/>
        </w:trP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Liquidity / CCH</w:t>
            </w:r>
          </w:p>
        </w:tc>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Quant Developer plus extra Senior Integration Engineers (5–8 CCHs)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Phase 3 (M15–21) — CCH connectors land in waves of 2–3 per quarter</w:t>
            </w:r>
          </w:p>
        </w:tc>
      </w:tr>
    </w:tbl>
    <w:p>
      <w:pPr>
        <w:pStyle w:val="Heading2"/>
        <w:spacing w:after="100" w:before="240"/>
      </w:pPr>
      <w:r>
        <w:rPr>
          <w:rFonts w:ascii="Calibri" w:cs="Calibri" w:eastAsia="Calibri" w:hAnsi="Calibri"/>
          <w:b/>
          <w:bCs/>
          <w:color w:val="19376D"/>
          <w:sz w:val="26"/>
          <w:szCs w:val="26"/>
        </w:rPr>
        <w:t xml:space="preserve">5.3 The Risk SME role</w:t>
      </w:r>
    </w:p>
    <w:p>
      <w:pPr>
        <w:spacing w:after="200" w:line="300"/>
      </w:pPr>
      <w:r>
        <w:rPr>
          <w:rFonts w:ascii="Calibri" w:cs="Calibri" w:eastAsia="Calibri" w:hAnsi="Calibri"/>
          <w:color w:val="1F2A44"/>
          <w:sz w:val="22"/>
          <w:szCs w:val="22"/>
        </w:rPr>
        <w:t xml:space="preserve">Embedding a 1st-line risk specialist inside each feature team for the duration is the single biggest determinant of whether the platform builds the right risk metrics. The cost of getting this wrong is reputational with the front office and material with the regulator. The Risk SME is not a part-time consultant — they are a member of the team, in stand-ups, in sprint planning, in retrospectives. Their full-time-equivalent commitment is one full FTE, ideally seconded from the front-line risk function for at least 12 months. If a full-time secondment is impossible, the next best option is a 3–4 day per week embedded role; less than that and the team will drift.</w:t>
      </w:r>
    </w:p>
    <w:p>
      <w:r>
        <w:br w:type="page"/>
      </w:r>
    </w:p>
    <w:p>
      <w:pPr>
        <w:pStyle w:val="Heading1"/>
        <w:pBdr>
          <w:bottom w:val="single" w:color="C8841A" w:sz="12" w:space="6"/>
        </w:pBdr>
        <w:spacing w:after="160" w:before="320"/>
      </w:pPr>
      <w:r>
        <w:rPr>
          <w:rFonts w:ascii="Calibri" w:cs="Calibri" w:eastAsia="Calibri" w:hAnsi="Calibri"/>
          <w:b/>
          <w:bCs/>
          <w:color w:val="0B2447"/>
          <w:sz w:val="32"/>
          <w:szCs w:val="32"/>
        </w:rPr>
        <w:t xml:space="preserve">6. Cross-Domain Teams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6400"/>
        <w:gridCol w:w="2160"/>
      </w:tblGrid>
      <w:tr>
        <w:trPr>
          <w:cantSplit/>
        </w:trPr>
        <w:tc>
          <w:tcPr>
            <w:tcW w:type="dxa" w:w="800"/>
            <w:tcBorders>
              <w:top w:val="none" w:color="FFFFFF" w:sz="0"/>
              <w:left w:val="none" w:color="FFFFFF" w:sz="0"/>
              <w:bottom w:val="none" w:color="FFFFFF" w:sz="0"/>
              <w:right w:val="none" w:color="FFFFFF" w:sz="0"/>
            </w:tcBorders>
            <w:shd w:fill="C8841A" w:val="clear"/>
            <w:tcMar>
              <w:top w:type="dxa" w:w="140"/>
              <w:left w:type="dxa" w:w="140"/>
              <w:bottom w:type="dxa" w:w="140"/>
              <w:right w:type="dxa" w:w="140"/>
            </w:tcMar>
            <w:vAlign w:val="center"/>
          </w:tcPr>
          <w:p>
            <w:pPr>
              <w:jc w:val="center"/>
            </w:pPr>
            <w:r>
              <w:rPr>
                <w:rFonts w:ascii="Calibri" w:cs="Calibri" w:eastAsia="Calibri" w:hAnsi="Calibri"/>
                <w:b/>
                <w:bCs/>
                <w:color w:val="FFFFFF"/>
                <w:sz w:val="36"/>
                <w:szCs w:val="36"/>
              </w:rPr>
              <w:t xml:space="preserve">6.1</w:t>
            </w:r>
          </w:p>
        </w:tc>
        <w:tc>
          <w:tcPr>
            <w:tcW w:type="dxa" w:w="6400"/>
            <w:tcBorders>
              <w:top w:val="none" w:color="FFFFFF" w:sz="0"/>
              <w:left w:val="none" w:color="FFFFFF" w:sz="0"/>
              <w:bottom w:val="none" w:color="FFFFFF" w:sz="0"/>
              <w:right w:val="none" w:color="FFFFFF" w:sz="0"/>
            </w:tcBorders>
            <w:tcMar>
              <w:top w:type="dxa" w:w="100"/>
              <w:left w:type="dxa" w:w="240"/>
              <w:bottom w:type="dxa" w:w="100"/>
              <w:right w:type="dxa" w:w="140"/>
            </w:tcMar>
            <w:vAlign w:val="center"/>
          </w:tcPr>
          <w:p>
            <w:pPr>
              <w:spacing w:after="40"/>
            </w:pPr>
            <w:r>
              <w:rPr>
                <w:rFonts w:ascii="Calibri" w:cs="Calibri" w:eastAsia="Calibri" w:hAnsi="Calibri"/>
                <w:b/>
                <w:bCs/>
                <w:color w:val="0B2447"/>
                <w:sz w:val="28"/>
                <w:szCs w:val="28"/>
              </w:rPr>
              <w:t xml:space="preserve">Risk Reporting</w:t>
            </w:r>
          </w:p>
          <w:p>
            <w:r>
              <w:rPr>
                <w:rFonts w:ascii="Calibri" w:cs="Calibri" w:eastAsia="Calibri" w:hAnsi="Calibri"/>
                <w:i/>
                <w:iCs/>
                <w:color w:val="5A6B8A"/>
                <w:sz w:val="18"/>
                <w:szCs w:val="18"/>
              </w:rPr>
              <w:t xml:space="preserve">Reporting UI, regulatory reports, EUDA decommission programme — cross-domain</w:t>
            </w:r>
          </w:p>
        </w:tc>
        <w:tc>
          <w:tcPr>
            <w:tcW w:type="dxa" w:w="2160"/>
            <w:tcBorders>
              <w:top w:val="none" w:color="FFFFFF" w:sz="0"/>
              <w:left w:val="none" w:color="FFFFFF" w:sz="0"/>
              <w:bottom w:val="none" w:color="FFFFFF" w:sz="0"/>
              <w:right w:val="none" w:color="FFFFFF" w:sz="0"/>
            </w:tcBorders>
            <w:shd w:fill="F4F6FA" w:val="clear"/>
            <w:tcMar>
              <w:top w:type="dxa" w:w="100"/>
              <w:left w:type="dxa" w:w="100"/>
              <w:bottom w:type="dxa" w:w="100"/>
              <w:right w:type="dxa" w:w="100"/>
            </w:tcMar>
            <w:vAlign w:val="center"/>
          </w:tcPr>
          <w:p>
            <w:pPr>
              <w:spacing w:after="0"/>
              <w:jc w:val="center"/>
            </w:pPr>
            <w:r>
              <w:rPr>
                <w:rFonts w:ascii="Calibri" w:cs="Calibri" w:eastAsia="Calibri" w:hAnsi="Calibri"/>
                <w:b/>
                <w:bCs/>
                <w:color w:val="C8841A"/>
                <w:sz w:val="22"/>
                <w:szCs w:val="22"/>
              </w:rPr>
              <w:t xml:space="preserve">10 FTE</w:t>
            </w:r>
          </w:p>
          <w:p>
            <w:pPr>
              <w:spacing w:after="0"/>
              <w:jc w:val="center"/>
            </w:pPr>
            <w:r>
              <w:rPr>
                <w:rFonts w:ascii="Calibri" w:cs="Calibri" w:eastAsia="Calibri" w:hAnsi="Calibri"/>
                <w:i/>
                <w:iCs/>
                <w:color w:val="5A6B8A"/>
                <w:sz w:val="16"/>
                <w:szCs w:val="16"/>
              </w:rPr>
              <w:t xml:space="preserve">at peak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8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FTE</w:t>
            </w:r>
          </w:p>
        </w:tc>
        <w:tc>
          <w:tcPr>
            <w:tcW w:type="dxa" w:w="506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Engineering Manager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Leads the team</w:t>
            </w:r>
          </w:p>
        </w:tc>
      </w:tr>
      <w:tr>
        <w:trPr>
          <w:cantSplit/>
        </w:trP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Tech Lead</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Owns reporting service architecture</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Senior Backend Engineers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Python, dbt, regulatory report generators</w:t>
            </w:r>
          </w:p>
        </w:tc>
      </w:tr>
      <w:tr>
        <w:trPr>
          <w:cantSplit/>
        </w:trP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Frontend Engineers</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2</w:t>
            </w:r>
          </w:p>
        </w:tc>
        <w:tc>
          <w:tcPr>
            <w:tcW w:type="dxa" w:w="5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Reporting UI, embedded Superset dashboards</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Product Owner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Reporting roadmap; EUDA migration planning</w:t>
            </w:r>
          </w:p>
        </w:tc>
      </w:tr>
      <w:tr>
        <w:trPr>
          <w:cantSplit/>
        </w:trP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Regulatory Reporting BA</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MiFID, EMIR, FCA report specifications</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QA Engineer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Reg report regression; reconciliation testing</w:t>
            </w:r>
          </w:p>
        </w:tc>
      </w:tr>
    </w:tbl>
    <w:p>
      <w:pPr>
        <w:spacing w:after="120" w:line="300"/>
      </w:pPr>
      <w:r>
        <w:rPr>
          <w:rFonts w:ascii="Calibri" w:cs="Calibri" w:eastAsia="Calibri" w:hAnsi="Calibri"/>
          <w:color w:val="1F2A44"/>
          <w:sz w:val="22"/>
          <w:szCs w:val="22"/>
        </w:rPr>
        <w:t xml:space="preserve">Owns the Risk Reporting UI, regulatory reporting marts in the lakehouse, and the suite of MiFID/EMIR/FCA report generators. Critically, this team also owns the EUDA decommission programme — a multi-year discovery exercise to find every spreadsheet currently being used to meet a reporting need and replace it on the new platform. The EUDA work alone justifies the team’s size; without it, the EUDAs remain in production indefinitely and the platform delivers half the value it was approved for.</w:t>
      </w:r>
    </w:p>
    <w:p>
      <w:pPr>
        <w:spacing w:after="200" w:line="300"/>
      </w:pPr>
      <w:r>
        <w:rPr>
          <w:rFonts w:ascii="Calibri" w:cs="Calibri" w:eastAsia="Calibri" w:hAnsi="Calibri"/>
          <w:color w:val="1F2A44"/>
          <w:sz w:val="22"/>
          <w:szCs w:val="22"/>
        </w:rPr>
        <w:t xml:space="preserve">Active from Month 6 onward at part strength, ramping to full strength in Phase 2. EUDA decommission accelerates in Phase 3 once Market Risk and Credit are stable.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00"/>
        <w:gridCol w:w="6400"/>
        <w:gridCol w:w="2160"/>
      </w:tblGrid>
      <w:tr>
        <w:trPr>
          <w:cantSplit/>
        </w:trPr>
        <w:tc>
          <w:tcPr>
            <w:tcW w:type="dxa" w:w="800"/>
            <w:tcBorders>
              <w:top w:val="none" w:color="FFFFFF" w:sz="0"/>
              <w:left w:val="none" w:color="FFFFFF" w:sz="0"/>
              <w:bottom w:val="none" w:color="FFFFFF" w:sz="0"/>
              <w:right w:val="none" w:color="FFFFFF" w:sz="0"/>
            </w:tcBorders>
            <w:shd w:fill="2D5F4F" w:val="clear"/>
            <w:tcMar>
              <w:top w:type="dxa" w:w="140"/>
              <w:left w:type="dxa" w:w="140"/>
              <w:bottom w:type="dxa" w:w="140"/>
              <w:right w:type="dxa" w:w="140"/>
            </w:tcMar>
            <w:vAlign w:val="center"/>
          </w:tcPr>
          <w:p>
            <w:pPr>
              <w:jc w:val="center"/>
            </w:pPr>
            <w:r>
              <w:rPr>
                <w:rFonts w:ascii="Calibri" w:cs="Calibri" w:eastAsia="Calibri" w:hAnsi="Calibri"/>
                <w:b/>
                <w:bCs/>
                <w:color w:val="FFFFFF"/>
                <w:sz w:val="36"/>
                <w:szCs w:val="36"/>
              </w:rPr>
              <w:t xml:space="preserve">6.2</w:t>
            </w:r>
          </w:p>
        </w:tc>
        <w:tc>
          <w:tcPr>
            <w:tcW w:type="dxa" w:w="6400"/>
            <w:tcBorders>
              <w:top w:val="none" w:color="FFFFFF" w:sz="0"/>
              <w:left w:val="none" w:color="FFFFFF" w:sz="0"/>
              <w:bottom w:val="none" w:color="FFFFFF" w:sz="0"/>
              <w:right w:val="none" w:color="FFFFFF" w:sz="0"/>
            </w:tcBorders>
            <w:tcMar>
              <w:top w:type="dxa" w:w="100"/>
              <w:left w:type="dxa" w:w="240"/>
              <w:bottom w:type="dxa" w:w="100"/>
              <w:right w:type="dxa" w:w="140"/>
            </w:tcMar>
            <w:vAlign w:val="center"/>
          </w:tcPr>
          <w:p>
            <w:pPr>
              <w:spacing w:after="40"/>
            </w:pPr>
            <w:r>
              <w:rPr>
                <w:rFonts w:ascii="Calibri" w:cs="Calibri" w:eastAsia="Calibri" w:hAnsi="Calibri"/>
                <w:b/>
                <w:bCs/>
                <w:color w:val="0B2447"/>
                <w:sz w:val="28"/>
                <w:szCs w:val="28"/>
              </w:rPr>
              <w:t xml:space="preserve">Test Engineering</w:t>
            </w:r>
          </w:p>
          <w:p>
            <w:r>
              <w:rPr>
                <w:rFonts w:ascii="Calibri" w:cs="Calibri" w:eastAsia="Calibri" w:hAnsi="Calibri"/>
                <w:i/>
                <w:iCs/>
                <w:color w:val="5A6B8A"/>
                <w:sz w:val="18"/>
                <w:szCs w:val="18"/>
              </w:rPr>
              <w:t xml:space="preserve">Programme-wide test framework, NFR rig, performance test infrastructure, automation tooling</w:t>
            </w:r>
          </w:p>
        </w:tc>
        <w:tc>
          <w:tcPr>
            <w:tcW w:type="dxa" w:w="2160"/>
            <w:tcBorders>
              <w:top w:val="none" w:color="FFFFFF" w:sz="0"/>
              <w:left w:val="none" w:color="FFFFFF" w:sz="0"/>
              <w:bottom w:val="none" w:color="FFFFFF" w:sz="0"/>
              <w:right w:val="none" w:color="FFFFFF" w:sz="0"/>
            </w:tcBorders>
            <w:shd w:fill="F4F6FA" w:val="clear"/>
            <w:tcMar>
              <w:top w:type="dxa" w:w="100"/>
              <w:left w:type="dxa" w:w="100"/>
              <w:bottom w:type="dxa" w:w="100"/>
              <w:right w:type="dxa" w:w="100"/>
            </w:tcMar>
            <w:vAlign w:val="center"/>
          </w:tcPr>
          <w:p>
            <w:pPr>
              <w:spacing w:after="0"/>
              <w:jc w:val="center"/>
            </w:pPr>
            <w:r>
              <w:rPr>
                <w:rFonts w:ascii="Calibri" w:cs="Calibri" w:eastAsia="Calibri" w:hAnsi="Calibri"/>
                <w:b/>
                <w:bCs/>
                <w:color w:val="2D5F4F"/>
                <w:sz w:val="22"/>
                <w:szCs w:val="22"/>
              </w:rPr>
              <w:t xml:space="preserve">5 FTE</w:t>
            </w:r>
          </w:p>
          <w:p>
            <w:pPr>
              <w:spacing w:after="0"/>
              <w:jc w:val="center"/>
            </w:pPr>
            <w:r>
              <w:rPr>
                <w:rFonts w:ascii="Calibri" w:cs="Calibri" w:eastAsia="Calibri" w:hAnsi="Calibri"/>
                <w:i/>
                <w:iCs/>
                <w:color w:val="5A6B8A"/>
                <w:sz w:val="16"/>
                <w:szCs w:val="16"/>
              </w:rPr>
              <w:t xml:space="preserve">at peak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060"/>
      </w:tblGrid>
      <w:tr>
        <w:trPr>
          <w:tblHeader/>
        </w:trPr>
        <w:tc>
          <w:tcPr>
            <w:tcW w:type="dxa" w:w="35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8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FTE</w:t>
            </w:r>
          </w:p>
        </w:tc>
        <w:tc>
          <w:tcPr>
            <w:tcW w:type="dxa" w:w="506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Test Engineering Lead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Owns test strategy across the programme</w:t>
            </w:r>
          </w:p>
        </w:tc>
      </w:tr>
      <w:tr>
        <w:trPr>
          <w:cantSplit/>
        </w:trP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Performance / NFR Engineers</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2</w:t>
            </w:r>
          </w:p>
        </w:tc>
        <w:tc>
          <w:tcPr>
            <w:tcW w:type="dxa" w:w="5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Load test rig, latency profiling, capacity testing</w:t>
            </w:r>
          </w:p>
        </w:tc>
      </w:tr>
      <w:tr>
        <w:trPr>
          <w:cantSplit/>
        </w:trP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Test Automation Framework Engineers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2</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Test data management, regression framework, chaos tooling</w:t>
            </w:r>
          </w:p>
        </w:tc>
      </w:tr>
    </w:tbl>
    <w:p>
      <w:pPr>
        <w:spacing w:after="200" w:line="300"/>
      </w:pPr>
      <w:r>
        <w:rPr>
          <w:rFonts w:ascii="Calibri" w:cs="Calibri" w:eastAsia="Calibri" w:hAnsi="Calibri"/>
          <w:color w:val="1F2A44"/>
          <w:sz w:val="22"/>
          <w:szCs w:val="22"/>
        </w:rPr>
        <w:t xml:space="preserve">Each feature team has its own QA Engineer. This central team owns the framework — test data management infrastructure, the performance test rig, the regression suite tooling, chaos testing capability. They do not own quality. Quality is owned in the feature teams. This split prevents the well-known anti-pattern of a central QA team becoming a bottleneck.</w:t>
      </w:r>
    </w:p>
    <w:p>
      <w:r>
        <w:br w:type="page"/>
      </w:r>
    </w:p>
    <w:p>
      <w:pPr>
        <w:pStyle w:val="Heading1"/>
        <w:pBdr>
          <w:bottom w:val="single" w:color="C8841A" w:sz="12" w:space="6"/>
        </w:pBdr>
        <w:spacing w:after="160" w:before="320"/>
      </w:pPr>
      <w:r>
        <w:rPr>
          <w:rFonts w:ascii="Calibri" w:cs="Calibri" w:eastAsia="Calibri" w:hAnsi="Calibri"/>
          <w:b/>
          <w:bCs/>
          <w:color w:val="0B2447"/>
          <w:sz w:val="32"/>
          <w:szCs w:val="32"/>
        </w:rPr>
        <w:t xml:space="preserve">7. Headcount by Phase</w:t>
      </w:r>
    </w:p>
    <w:p>
      <w:pPr>
        <w:spacing w:after="120" w:line="300"/>
      </w:pPr>
      <w:r>
        <w:rPr>
          <w:rFonts w:ascii="Calibri" w:cs="Calibri" w:eastAsia="Calibri" w:hAnsi="Calibri"/>
          <w:color w:val="1F2A44"/>
          <w:sz w:val="22"/>
          <w:szCs w:val="22"/>
        </w:rPr>
        <w:t xml:space="preserve">The programme ramps in five phases. Mobilisation is deliberately small to allow architecture, leadership and standards to be established before the bulk of the team arrives. Foundation phase brings the core capability teams to full strength and stands up the first feature team (Credit). Phases 2 and 3 add the remaining feature teams as the previous one delivers its first vertical slice into UAT. Phase 4 transitions to BAU and shrinks to a steady-state team.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160"/>
        <w:gridCol w:w="800"/>
      </w:tblGrid>
      <w:tr>
        <w:trPr>
          <w:tblHeader/>
        </w:trPr>
        <w:tc>
          <w:tcPr>
            <w:tcW w:type="dxa" w:w="24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Phase</w:t>
            </w:r>
          </w:p>
        </w:tc>
        <w:tc>
          <w:tcPr>
            <w:tcW w:type="dxa" w:w="10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Months</w:t>
            </w:r>
          </w:p>
        </w:tc>
        <w:tc>
          <w:tcPr>
            <w:tcW w:type="dxa" w:w="516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Focus</w:t>
            </w:r>
          </w:p>
        </w:tc>
        <w:tc>
          <w:tcPr>
            <w:tcW w:type="dxa" w:w="8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FTE</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Phase 0 — Mobilisation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Leadership in place; Cloud Platform, Integration, Data Platform, Identity &amp; Security teams forming. Architecture set; standards drafted; Phase 1 plan agreed.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30</w:t>
            </w:r>
          </w:p>
        </w:tc>
      </w:tr>
      <w:tr>
        <w:trPr>
          <w:cantSplit/>
        </w:trP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Phase 1 — Foundation + Credit Risk</w:t>
            </w:r>
          </w:p>
        </w:tc>
        <w:tc>
          <w:tcPr>
            <w:tcW w:type="dxa" w:w="1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M3–9</w:t>
            </w:r>
          </w:p>
        </w:tc>
        <w:tc>
          <w:tcPr>
            <w:tcW w:type="dxa" w:w="5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All core capability teams operational; Credit Risk feature team building; Broker Workspace pre-deal check journey; first thin vertical slice into UAT by Month 9.</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70</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Phase 2 — Market Risk + UI scale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M9–15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Market Risk team active; Risk Ops Console maturing; Risk Reporting team active; Broker Workspace expands; first reg-report migrations begin.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100</w:t>
            </w:r>
          </w:p>
        </w:tc>
      </w:tr>
      <w:tr>
        <w:trPr>
          <w:cantSplit/>
        </w:trP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Phase 3 — Liquidity &amp; CCH waves</w:t>
            </w:r>
          </w:p>
        </w:tc>
        <w:tc>
          <w:tcPr>
            <w:tcW w:type="dxa" w:w="1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M15–21</w:t>
            </w:r>
          </w:p>
        </w:tc>
        <w:tc>
          <w:tcPr>
            <w:tcW w:type="dxa" w:w="5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Liquidity team in flight; CCH connectors landing 2–3 per quarter; reporting migration accelerating; PRA / FCA readiness review against operating platform.</w:t>
            </w:r>
          </w:p>
        </w:tc>
        <w:tc>
          <w:tcPr>
            <w:tcW w:type="dxa" w:w="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105</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Phase 4 — Stabilise &amp; BAU</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M21–24+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Run-the-bank handover; feature teams shrink; core teams continue; final EUDA migrations; programme closure.</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60 → BAU</w:t>
            </w:r>
          </w:p>
        </w:tc>
      </w:tr>
    </w:tbl>
    <w:p>
      <w:pPr>
        <w:pStyle w:val="Heading2"/>
        <w:spacing w:after="100" w:before="240"/>
      </w:pPr>
      <w:r>
        <w:rPr>
          <w:rFonts w:ascii="Calibri" w:cs="Calibri" w:eastAsia="Calibri" w:hAnsi="Calibri"/>
          <w:b/>
          <w:bCs/>
          <w:color w:val="19376D"/>
          <w:sz w:val="26"/>
          <w:szCs w:val="26"/>
        </w:rPr>
        <w:t xml:space="preserve">7.1 Per-team activity by phase</w:t>
      </w:r>
    </w:p>
    <w:p>
      <w:pPr>
        <w:spacing w:after="100" w:line="300"/>
      </w:pPr>
      <w:r>
        <w:rPr>
          <w:rFonts w:ascii="Calibri" w:cs="Calibri" w:eastAsia="Calibri" w:hAnsi="Calibri"/>
          <w:color w:val="1F2A44"/>
          <w:sz w:val="22"/>
          <w:szCs w:val="22"/>
        </w:rPr>
        <w:t xml:space="preserve">The matrix below shows when each team is active and at what intensity. ● = full strength; ◐ = forming or shrinking; ○ = inactive or skeleton crew. The colour band on the headcount totals reflects the same.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72"/>
        <w:gridCol w:w="1272"/>
        <w:gridCol w:w="1272"/>
        <w:gridCol w:w="1272"/>
        <w:gridCol w:w="1272"/>
      </w:tblGrid>
      <w:tr>
        <w:trPr>
          <w:tblHeader/>
        </w:trPr>
        <w:tc>
          <w:tcPr>
            <w:tcW w:type="dxa" w:w="30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Team</w:t>
            </w:r>
          </w:p>
        </w:tc>
        <w:tc>
          <w:tcPr>
            <w:tcW w:type="dxa" w:w="1272"/>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P0 (M0–3)</w:t>
            </w:r>
          </w:p>
        </w:tc>
        <w:tc>
          <w:tcPr>
            <w:tcW w:type="dxa" w:w="1272"/>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P1 (M3–9)</w:t>
            </w:r>
          </w:p>
        </w:tc>
        <w:tc>
          <w:tcPr>
            <w:tcW w:type="dxa" w:w="1272"/>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P2 (M9–15)</w:t>
            </w:r>
          </w:p>
        </w:tc>
        <w:tc>
          <w:tcPr>
            <w:tcW w:type="dxa" w:w="1272"/>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P3 (M15–21)</w:t>
            </w:r>
          </w:p>
        </w:tc>
        <w:tc>
          <w:tcPr>
            <w:tcW w:type="dxa" w:w="1272"/>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P4 (M21–24+)</w:t>
            </w:r>
          </w:p>
        </w:tc>
      </w:tr>
      <w:tr>
        <w:trPr>
          <w:cantSplit/>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Leadership &amp; Governance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r>
      <w:tr>
        <w:trPr>
          <w:cantSplit/>
        </w:trP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Cloud Platform &amp; SRE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r>
      <w:tr>
        <w:trPr>
          <w:cantSplit/>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Data Platform</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r>
      <w:tr>
        <w:trPr>
          <w:cantSplit/>
        </w:trP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Integration &amp; Messaging</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r>
      <w:tr>
        <w:trPr>
          <w:cantSplit/>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UI Platform</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r>
      <w:tr>
        <w:trPr>
          <w:cantSplit/>
        </w:trP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Orchestration &amp; Workflow</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r>
      <w:tr>
        <w:trPr>
          <w:cantSplit/>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Quant Library</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r>
      <w:tr>
        <w:trPr>
          <w:cantSplit/>
        </w:trP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Identity, Sec &amp; Governance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r>
      <w:tr>
        <w:trPr>
          <w:cantSplit/>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Credit Risk</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r>
      <w:tr>
        <w:trPr>
          <w:cantSplit/>
        </w:trP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Market Risk</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r>
      <w:tr>
        <w:trPr>
          <w:cantSplit/>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Liquidity / CCH</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r>
      <w:tr>
        <w:trPr>
          <w:cantSplit/>
        </w:trPr>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Risk Reporting</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r>
      <w:tr>
        <w:trPr>
          <w:cantSplit/>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Test Engineering</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c>
          <w:tcPr>
            <w:tcW w:type="dxa" w:w="12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w:t>
            </w:r>
          </w:p>
        </w:tc>
      </w:tr>
    </w:tbl>
    <w:p>
      <w:r>
        <w:br w:type="page"/>
      </w:r>
    </w:p>
    <w:p>
      <w:pPr>
        <w:pStyle w:val="Heading1"/>
        <w:pBdr>
          <w:bottom w:val="single" w:color="C8841A" w:sz="12" w:space="6"/>
        </w:pBdr>
        <w:spacing w:after="160" w:before="320"/>
      </w:pPr>
      <w:r>
        <w:rPr>
          <w:rFonts w:ascii="Calibri" w:cs="Calibri" w:eastAsia="Calibri" w:hAnsi="Calibri"/>
          <w:b/>
          <w:bCs/>
          <w:color w:val="0B2447"/>
          <w:sz w:val="32"/>
          <w:szCs w:val="32"/>
        </w:rPr>
        <w:t xml:space="preserve">8. Hiring Strategy</w:t>
      </w:r>
    </w:p>
    <w:p>
      <w:pPr>
        <w:pStyle w:val="Heading2"/>
        <w:spacing w:after="100" w:before="240"/>
      </w:pPr>
      <w:r>
        <w:rPr>
          <w:rFonts w:ascii="Calibri" w:cs="Calibri" w:eastAsia="Calibri" w:hAnsi="Calibri"/>
          <w:b/>
          <w:bCs/>
          <w:color w:val="19376D"/>
          <w:sz w:val="26"/>
          <w:szCs w:val="26"/>
        </w:rPr>
        <w:t xml:space="preserve">8.1 Permanent versus contractor split</w:t>
      </w:r>
    </w:p>
    <w:p>
      <w:pPr>
        <w:spacing w:after="120" w:line="300"/>
      </w:pPr>
      <w:r>
        <w:rPr>
          <w:rFonts w:ascii="Calibri" w:cs="Calibri" w:eastAsia="Calibri" w:hAnsi="Calibri"/>
          <w:color w:val="1F2A44"/>
          <w:sz w:val="22"/>
          <w:szCs w:val="22"/>
        </w:rPr>
        <w:t xml:space="preserve">Different roles in the programme have different optimal permanent / contractor splits. The principle is: keep the platform spine permanent (because they build long-running services that need long-running ownership), and flex the build phases with contractors where the market supports 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4060"/>
      </w:tblGrid>
      <w:tr>
        <w:trPr>
          <w:tblHeader/>
        </w:trPr>
        <w:tc>
          <w:tcPr>
            <w:tcW w:type="dxa" w:w="29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Role family</w:t>
            </w:r>
          </w:p>
        </w:tc>
        <w:tc>
          <w:tcPr>
            <w:tcW w:type="dxa" w:w="24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Recommended split</w:t>
            </w:r>
          </w:p>
        </w:tc>
        <w:tc>
          <w:tcPr>
            <w:tcW w:type="dxa" w:w="406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Rationale</w:t>
            </w:r>
          </w:p>
        </w:tc>
      </w:tr>
      <w:tr>
        <w:trPr>
          <w:cantSplit/>
        </w:trP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Leadership &amp; Architecture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100% permanent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Programme spine; long-term accountability; institutional knowledge</w:t>
            </w:r>
          </w:p>
        </w:tc>
      </w:tr>
      <w:tr>
        <w:trPr>
          <w:cantSplit/>
        </w:trPr>
        <w:tc>
          <w:tcPr>
            <w:tcW w:type="dxa" w:w="2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Core capability EMs and Principals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100% permanent</w:t>
            </w:r>
          </w:p>
        </w:tc>
        <w:tc>
          <w:tcPr>
            <w:tcW w:type="dxa" w:w="4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Owns long-running platform service; needs continuity</w:t>
            </w:r>
          </w:p>
        </w:tc>
      </w:tr>
      <w:tr>
        <w:trPr>
          <w:cantSplit/>
        </w:trP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Core capability senior engineers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70% permanent / 30% contractor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Permanent for ownership; contractors to flex during build phases</w:t>
            </w:r>
          </w:p>
        </w:tc>
      </w:tr>
      <w:tr>
        <w:trPr>
          <w:cantSplit/>
        </w:trPr>
        <w:tc>
          <w:tcPr>
            <w:tcW w:type="dxa" w:w="2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Integration engineers (FIX, SWIFT, CCH)</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40% permanent / 60% contractor</w:t>
            </w:r>
          </w:p>
        </w:tc>
        <w:tc>
          <w:tcPr>
            <w:tcW w:type="dxa" w:w="4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Contractor-rich market; aggressive flex during build, retain best on conversion</w:t>
            </w:r>
          </w:p>
        </w:tc>
      </w:tr>
      <w:tr>
        <w:trPr>
          <w:cantSplit/>
        </w:trP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Risk feature team EMs and Tech Leads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100% permanent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Domain accountability; long-term ownership of the risk capability</w:t>
            </w:r>
          </w:p>
        </w:tc>
      </w:tr>
      <w:tr>
        <w:trPr>
          <w:cantSplit/>
        </w:trPr>
        <w:tc>
          <w:tcPr>
            <w:tcW w:type="dxa" w:w="2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Risk feature team senior engineers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70% permanent / 30% contractor</w:t>
            </w:r>
          </w:p>
        </w:tc>
        <w:tc>
          <w:tcPr>
            <w:tcW w:type="dxa" w:w="4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As above; flex with contractors where domain knowledge isn’t critical</w:t>
            </w:r>
          </w:p>
        </w:tc>
      </w:tr>
      <w:tr>
        <w:trPr>
          <w:cantSplit/>
        </w:trP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Quant Developers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100% permanent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Scarce skill; long ramp; avoid contractor model</w:t>
            </w:r>
          </w:p>
        </w:tc>
      </w:tr>
      <w:tr>
        <w:trPr>
          <w:cantSplit/>
        </w:trPr>
        <w:tc>
          <w:tcPr>
            <w:tcW w:type="dxa" w:w="2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Risk SMEs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100% internal secondment</w:t>
            </w:r>
          </w:p>
        </w:tc>
        <w:tc>
          <w:tcPr>
            <w:tcW w:type="dxa" w:w="4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Front-office secondment is the right model; not contractable</w:t>
            </w:r>
          </w:p>
        </w:tc>
      </w:tr>
      <w:tr>
        <w:trPr>
          <w:cantSplit/>
        </w:trP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Frontend engineers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60% permanent / 40% contractor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Healthy contractor market for senior React/TS</w:t>
            </w:r>
          </w:p>
        </w:tc>
      </w:tr>
      <w:tr>
        <w:trPr>
          <w:cantSplit/>
        </w:trPr>
        <w:tc>
          <w:tcPr>
            <w:tcW w:type="dxa" w:w="2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BAs and QA</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70% permanent / 30% contractor</w:t>
            </w:r>
          </w:p>
        </w:tc>
        <w:tc>
          <w:tcPr>
            <w:tcW w:type="dxa" w:w="40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Permanent for continuity; contractor flex for surge testing</w:t>
            </w:r>
          </w:p>
        </w:tc>
      </w:tr>
    </w:tbl>
    <w:p>
      <w:pPr>
        <w:pStyle w:val="Heading2"/>
        <w:spacing w:after="100" w:before="240"/>
      </w:pPr>
      <w:r>
        <w:rPr>
          <w:rFonts w:ascii="Calibri" w:cs="Calibri" w:eastAsia="Calibri" w:hAnsi="Calibri"/>
          <w:b/>
          <w:bCs/>
          <w:color w:val="19376D"/>
          <w:sz w:val="26"/>
          <w:szCs w:val="26"/>
        </w:rPr>
        <w:t xml:space="preserve">8.2 Onshore / offshore mix</w:t>
      </w:r>
    </w:p>
    <w:p>
      <w:pPr>
        <w:spacing w:after="120" w:line="300"/>
      </w:pPr>
      <w:r>
        <w:rPr>
          <w:rFonts w:ascii="Calibri" w:cs="Calibri" w:eastAsia="Calibri" w:hAnsi="Calibri"/>
          <w:color w:val="1F2A44"/>
          <w:sz w:val="22"/>
          <w:szCs w:val="22"/>
        </w:rPr>
        <w:t xml:space="preserve">The pattern that works in regulated capital markets places certain roles strictly onshore and uses near-shore or offshore for the engineering bulk. The recommendation:</w:t>
      </w:r>
    </w:p>
    <w:p>
      <w:pPr>
        <w:pStyle w:val="ListParagraph"/>
        <w:numPr>
          <w:ilvl w:val="0"/>
          <w:numId w:val="2"/>
        </w:numPr>
        <w:spacing w:after="80" w:line="280"/>
      </w:pPr>
      <w:r>
        <w:rPr>
          <w:rFonts w:ascii="Calibri" w:cs="Calibri" w:eastAsia="Calibri" w:hAnsi="Calibri"/>
          <w:b/>
          <w:bCs/>
          <w:color w:val="1F2A44"/>
          <w:sz w:val="22"/>
          <w:szCs w:val="22"/>
        </w:rPr>
        <w:t xml:space="preserve">Onshore: </w:t>
      </w:r>
      <w:r>
        <w:rPr>
          <w:rFonts w:ascii="Calibri" w:cs="Calibri" w:eastAsia="Calibri" w:hAnsi="Calibri"/>
          <w:color w:val="1F2A44"/>
          <w:sz w:val="22"/>
          <w:szCs w:val="22"/>
        </w:rPr>
        <w:t xml:space="preserve">Architecture, leadership, risk SMEs, security engineers, regulatory reporting, and Model Risk all onshore — these roles require constant proximity to the business and the regulator.</w:t>
      </w:r>
    </w:p>
    <w:p>
      <w:pPr>
        <w:pStyle w:val="ListParagraph"/>
        <w:numPr>
          <w:ilvl w:val="0"/>
          <w:numId w:val="2"/>
        </w:numPr>
        <w:spacing w:after="80" w:line="280"/>
      </w:pPr>
      <w:r>
        <w:rPr>
          <w:rFonts w:ascii="Calibri" w:cs="Calibri" w:eastAsia="Calibri" w:hAnsi="Calibri"/>
          <w:b/>
          <w:bCs/>
          <w:color w:val="1F2A44"/>
          <w:sz w:val="22"/>
          <w:szCs w:val="22"/>
        </w:rPr>
        <w:t xml:space="preserve">Near-shore / offshore: </w:t>
      </w:r>
      <w:r>
        <w:rPr>
          <w:rFonts w:ascii="Calibri" w:cs="Calibri" w:eastAsia="Calibri" w:hAnsi="Calibri"/>
          <w:color w:val="1F2A44"/>
          <w:sz w:val="22"/>
          <w:szCs w:val="22"/>
        </w:rPr>
        <w:t xml:space="preserve">Backend engineers, integration engineers, frontend engineers, QA, BA can be near-shore or offshore at scale — these are scalable engineering roles where geographic distance is manageable with strong engineering practice.</w:t>
      </w:r>
    </w:p>
    <w:p>
      <w:pPr>
        <w:pStyle w:val="ListParagraph"/>
        <w:numPr>
          <w:ilvl w:val="0"/>
          <w:numId w:val="2"/>
        </w:numPr>
        <w:spacing w:after="80" w:line="280"/>
      </w:pPr>
      <w:r>
        <w:rPr>
          <w:rFonts w:ascii="Calibri" w:cs="Calibri" w:eastAsia="Calibri" w:hAnsi="Calibri"/>
          <w:b/>
          <w:bCs/>
          <w:color w:val="1F2A44"/>
          <w:sz w:val="22"/>
          <w:szCs w:val="22"/>
        </w:rPr>
        <w:t xml:space="preserve">Co-located with quants: </w:t>
      </w:r>
      <w:r>
        <w:rPr>
          <w:rFonts w:ascii="Calibri" w:cs="Calibri" w:eastAsia="Calibri" w:hAnsi="Calibri"/>
          <w:color w:val="1F2A44"/>
          <w:sz w:val="22"/>
          <w:szCs w:val="22"/>
        </w:rPr>
        <w:t xml:space="preserve">Quant Developers should be co-located with the quant function regardless of where that is — the bandwidth required for quant collaboration is too high for distance.</w:t>
      </w:r>
    </w:p>
    <w:p>
      <w:pPr>
        <w:spacing w:after="200" w:line="300"/>
      </w:pPr>
      <w:r>
        <w:rPr>
          <w:rFonts w:ascii="Calibri" w:cs="Calibri" w:eastAsia="Calibri" w:hAnsi="Calibri"/>
          <w:color w:val="1F2A44"/>
          <w:sz w:val="22"/>
          <w:szCs w:val="22"/>
        </w:rPr>
        <w:t xml:space="preserve">An indicative target is 60–65% onshore, 35–40% near-shore or offshore. This will vary by the bank’s existing offshore capability and the regulatory acceptability of offshore arrangements (which is increasingly scrutinised by the PRA for material outsourcing).</w:t>
      </w:r>
    </w:p>
    <w:p>
      <w:pPr>
        <w:pStyle w:val="Heading2"/>
        <w:spacing w:after="100" w:before="240"/>
      </w:pPr>
      <w:r>
        <w:rPr>
          <w:rFonts w:ascii="Calibri" w:cs="Calibri" w:eastAsia="Calibri" w:hAnsi="Calibri"/>
          <w:b/>
          <w:bCs/>
          <w:color w:val="19376D"/>
          <w:sz w:val="26"/>
          <w:szCs w:val="26"/>
        </w:rPr>
        <w:t xml:space="preserve">8.3 Onboarding and ramp curve</w:t>
      </w:r>
    </w:p>
    <w:p>
      <w:pPr>
        <w:spacing w:after="120" w:line="300"/>
      </w:pPr>
      <w:r>
        <w:rPr>
          <w:rFonts w:ascii="Calibri" w:cs="Calibri" w:eastAsia="Calibri" w:hAnsi="Calibri"/>
          <w:color w:val="1F2A44"/>
          <w:sz w:val="22"/>
          <w:szCs w:val="22"/>
        </w:rPr>
        <w:t xml:space="preserve">Hiring at this scale into a regulated environment is slow. Vetting and security clearance can take 6–8 weeks; onboarding to the existing tech estate adds another 4 weeks; learning the risk domain adds 6–12 weeks more. The Phase 0 plan should therefore assume people are not at full velocity until Month 4–5 even if they joined in Month 1.</w:t>
      </w:r>
    </w:p>
    <w:p>
      <w:pPr>
        <w:spacing w:after="120" w:line="300"/>
      </w:pPr>
      <w:r>
        <w:rPr>
          <w:rFonts w:ascii="Calibri" w:cs="Calibri" w:eastAsia="Calibri" w:hAnsi="Calibri"/>
          <w:color w:val="1F2A44"/>
          <w:sz w:val="22"/>
          <w:szCs w:val="22"/>
        </w:rPr>
        <w:t xml:space="preserve">A practical productivity assumption: 30% in Month 1, 60% in Months 2–3, 90% from Month 4 onward. Quants and integration engineers take longer (3–4 months to full velocity) because they need to learn both the technology and the deep domain. Plan for a 20–30% productivity drag across the programme during the first four months and reflect this in scope commitments to the steering committee.</w:t>
      </w:r>
    </w:p>
    <w:p>
      <w:pPr>
        <w:spacing w:after="200" w:line="300"/>
      </w:pPr>
      <w:r>
        <w:rPr>
          <w:rFonts w:ascii="Calibri" w:cs="Calibri" w:eastAsia="Calibri" w:hAnsi="Calibri"/>
          <w:color w:val="1F2A44"/>
          <w:sz w:val="22"/>
          <w:szCs w:val="22"/>
        </w:rPr>
        <w:t xml:space="preserve">Hiring lead times also need to be planned. Internal moves take 4–8 weeks (longer if backfill is needed in the source team). External permanent hires take 8–14 weeks from signed offer to start. Contractor onboarding is faster (3–6 weeks) but vetting still applies. The hiring plan should backfill these lead times so that a Month 6 start date implies a Month 2 hiring kick-off.</w:t>
      </w:r>
    </w:p>
    <w:p>
      <w:r>
        <w:br w:type="page"/>
      </w:r>
    </w:p>
    <w:p>
      <w:pPr>
        <w:pStyle w:val="Heading1"/>
        <w:pBdr>
          <w:bottom w:val="single" w:color="C8841A" w:sz="12" w:space="6"/>
        </w:pBdr>
        <w:spacing w:after="160" w:before="320"/>
      </w:pPr>
      <w:r>
        <w:rPr>
          <w:rFonts w:ascii="Calibri" w:cs="Calibri" w:eastAsia="Calibri" w:hAnsi="Calibri"/>
          <w:b/>
          <w:bCs/>
          <w:color w:val="0B2447"/>
          <w:sz w:val="32"/>
          <w:szCs w:val="32"/>
        </w:rPr>
        <w:t xml:space="preserve">9. Key Staffing Risks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1100"/>
        <w:gridCol w:w="4260"/>
      </w:tblGrid>
      <w:tr>
        <w:trPr>
          <w:tblHeader/>
        </w:trPr>
        <w:tc>
          <w:tcPr>
            <w:tcW w:type="dxa" w:w="29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Likelihood</w:t>
            </w:r>
          </w:p>
        </w:tc>
        <w:tc>
          <w:tcPr>
            <w:tcW w:type="dxa" w:w="11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Impact</w:t>
            </w:r>
          </w:p>
        </w:tc>
        <w:tc>
          <w:tcPr>
            <w:tcW w:type="dxa" w:w="426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Mitigation</w:t>
            </w:r>
          </w:p>
        </w:tc>
      </w:tr>
      <w:tr>
        <w:trPr>
          <w:cantSplit/>
        </w:trP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Mobilisation slips and core teams under-staffed in Month 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Front-load hiring; sign offers in Month 0; use known contractors to bridge; phase 0 plan assumes lower productivity already</w:t>
            </w:r>
          </w:p>
        </w:tc>
      </w:tr>
      <w:tr>
        <w:trPr>
          <w:cantSplit/>
        </w:trPr>
        <w:tc>
          <w:tcPr>
            <w:tcW w:type="dxa" w:w="2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Quant Developer pipeline insufficient</w:t>
            </w:r>
          </w:p>
        </w:tc>
        <w:tc>
          <w:tcPr>
            <w:tcW w:type="dxa" w:w="1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High</w:t>
            </w:r>
          </w:p>
        </w:tc>
        <w:tc>
          <w:tcPr>
            <w:tcW w:type="dxa" w:w="1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High</w:t>
            </w:r>
          </w:p>
        </w:tc>
        <w:tc>
          <w:tcPr>
            <w:tcW w:type="dxa" w:w="42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Combine internal secondment from front-office quants with external contractor + permanent hire; start sourcing in Month 0; plan 3-month onboarding</w:t>
            </w:r>
          </w:p>
        </w:tc>
      </w:tr>
      <w:tr>
        <w:trPr>
          <w:cantSplit/>
        </w:trP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Risk SME secondment not granted by 1st line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High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Negotiate SME secondment at ExCo level before programme start; if denied, fallback is 3-day per-week embedded model with explicit risk capture in RAID log</w:t>
            </w:r>
          </w:p>
        </w:tc>
      </w:tr>
      <w:tr>
        <w:trPr>
          <w:cantSplit/>
        </w:trPr>
        <w:tc>
          <w:tcPr>
            <w:tcW w:type="dxa" w:w="2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Architects pulled into delivery work</w:t>
            </w:r>
          </w:p>
        </w:tc>
        <w:tc>
          <w:tcPr>
            <w:tcW w:type="dxa" w:w="1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Medium</w:t>
            </w:r>
          </w:p>
        </w:tc>
        <w:tc>
          <w:tcPr>
            <w:tcW w:type="dxa" w:w="1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Medium</w:t>
            </w:r>
          </w:p>
        </w:tc>
        <w:tc>
          <w:tcPr>
            <w:tcW w:type="dxa" w:w="42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Architects are not delivery engineers; defend their role at PMO level; if architect over-engaged in delivery, hire Lead SA earlier</w:t>
            </w:r>
          </w:p>
        </w:tc>
      </w:tr>
      <w:tr>
        <w:trPr>
          <w:cantSplit/>
        </w:trP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Contractor concentration risk on integration team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Ensure permanent EM and Principal stay in role; rotate contractors through pair programming; document patterns aggressively</w:t>
            </w:r>
          </w:p>
        </w:tc>
      </w:tr>
      <w:tr>
        <w:trPr>
          <w:cantSplit/>
        </w:trPr>
        <w:tc>
          <w:tcPr>
            <w:tcW w:type="dxa" w:w="2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Offshore arrangement fails PRA outsourcing review</w:t>
            </w:r>
          </w:p>
        </w:tc>
        <w:tc>
          <w:tcPr>
            <w:tcW w:type="dxa" w:w="1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Low</w:t>
            </w:r>
          </w:p>
        </w:tc>
        <w:tc>
          <w:tcPr>
            <w:tcW w:type="dxa" w:w="1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High</w:t>
            </w:r>
          </w:p>
        </w:tc>
        <w:tc>
          <w:tcPr>
            <w:tcW w:type="dxa" w:w="42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Engage 2nd line / Compliance early; choose providers with SS2/21-compliant model; if denied, fall back to onshore at higher cost</w:t>
            </w:r>
          </w:p>
        </w:tc>
      </w:tr>
      <w:tr>
        <w:trPr>
          <w:cantSplit/>
        </w:trP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Burnout in core capability teams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Medium</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Realistic on-call rotations; clear SLOs; sustainable WIP limits; quarterly capacity review; protect 10–15% time for tech debt and learning</w:t>
            </w:r>
          </w:p>
        </w:tc>
      </w:tr>
    </w:tbl>
    <w:p>
      <w:r>
        <w:br w:type="page"/>
      </w:r>
    </w:p>
    <w:p>
      <w:pPr>
        <w:pStyle w:val="Heading1"/>
        <w:pBdr>
          <w:bottom w:val="single" w:color="C8841A" w:sz="12" w:space="6"/>
        </w:pBdr>
        <w:spacing w:after="160" w:before="320"/>
      </w:pPr>
      <w:r>
        <w:rPr>
          <w:rFonts w:ascii="Calibri" w:cs="Calibri" w:eastAsia="Calibri" w:hAnsi="Calibri"/>
          <w:b/>
          <w:bCs/>
          <w:color w:val="0B2447"/>
          <w:sz w:val="32"/>
          <w:szCs w:val="32"/>
        </w:rPr>
        <w:t xml:space="preserve">10. Indicative Cost Envelope</w:t>
      </w:r>
    </w:p>
    <w:p>
      <w:pPr>
        <w:spacing w:after="120" w:line="300"/>
      </w:pPr>
      <w:r>
        <w:rPr>
          <w:rFonts w:ascii="Calibri" w:cs="Calibri" w:eastAsia="Calibri" w:hAnsi="Calibri"/>
          <w:color w:val="1F2A44"/>
          <w:sz w:val="22"/>
          <w:szCs w:val="22"/>
        </w:rPr>
        <w:t xml:space="preserve">This section gives an order-of-magnitude estimate only. Actual costs will depend on the bank’s pay grades, the onshore/offshore mix actually achieved, and contractor day rates negotiated. The numbers below assume a London-headquartered bank with typical 2026 capital-markets pay scales.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200"/>
        <w:gridCol w:w="3460"/>
      </w:tblGrid>
      <w:tr>
        <w:trPr>
          <w:tblHeader/>
        </w:trPr>
        <w:tc>
          <w:tcPr>
            <w:tcW w:type="dxa" w:w="37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Cost Category</w:t>
            </w:r>
          </w:p>
        </w:tc>
        <w:tc>
          <w:tcPr>
            <w:tcW w:type="dxa" w:w="220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Annual run-rate at peak (£m)</w:t>
            </w:r>
          </w:p>
        </w:tc>
        <w:tc>
          <w:tcPr>
            <w:tcW w:type="dxa" w:w="3460"/>
            <w:tcBorders>
              <w:top w:val="single" w:color="CCCCCC" w:sz="1"/>
              <w:left w:val="single" w:color="CCCCCC" w:sz="1"/>
              <w:bottom w:val="single" w:color="CCCCCC" w:sz="1"/>
              <w:right w:val="single" w:color="CCCCCC" w:sz="1"/>
            </w:tcBorders>
            <w:shd w:fill="0B2447" w:val="clear"/>
            <w:tcMar>
              <w:top w:type="dxa" w:w="100"/>
              <w:left w:type="dxa" w:w="140"/>
              <w:bottom w:type="dxa" w:w="100"/>
              <w:right w:type="dxa" w:w="140"/>
            </w:tcMar>
          </w:tcPr>
          <w:p>
            <w:r>
              <w:rPr>
                <w:rFonts w:ascii="Calibri" w:cs="Calibri" w:eastAsia="Calibri" w:hAnsi="Calibri"/>
                <w:b/>
                <w:bCs/>
                <w:color w:val="FFFFFF"/>
                <w:sz w:val="20"/>
                <w:szCs w:val="20"/>
              </w:rPr>
              <w:t xml:space="preserve">Notes</w:t>
            </w:r>
          </w:p>
        </w:tc>
      </w:tr>
      <w:tr>
        <w:trPr>
          <w:cantSplit/>
        </w:trPr>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Permanent salaries (90 FTE × ~£140k loaded)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~£12.6m</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Loaded cost includes salary, bonus, benefits, pension, NI</w:t>
            </w:r>
          </w:p>
        </w:tc>
      </w:tr>
      <w:tr>
        <w:trPr>
          <w:cantSplit/>
        </w:trPr>
        <w:tc>
          <w:tcPr>
            <w:tcW w:type="dxa" w:w="3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Contractor day rates (15 FTE × ~£900/day)</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~£3.4m</w:t>
            </w:r>
          </w:p>
        </w:tc>
        <w:tc>
          <w:tcPr>
            <w:tcW w:type="dxa" w:w="3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Higher per-FTE rate but no benefits; expect to convert top performers</w:t>
            </w:r>
          </w:p>
        </w:tc>
      </w:tr>
      <w:tr>
        <w:trPr>
          <w:cantSplit/>
        </w:trPr>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AWS infrastructure (compute, storage, network)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~£2.5m</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Steady-state estimate; build phase will be lower; can be optimised post-go-live</w:t>
            </w:r>
          </w:p>
        </w:tc>
      </w:tr>
      <w:tr>
        <w:trPr>
          <w:cantSplit/>
        </w:trPr>
        <w:tc>
          <w:tcPr>
            <w:tcW w:type="dxa" w:w="3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Software licensing (Solace, Confluent, Databricks if added, etc.)</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~£1.5m</w:t>
            </w:r>
          </w:p>
        </w:tc>
        <w:tc>
          <w:tcPr>
            <w:tcW w:type="dxa" w:w="3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Solace alone is the largest line; assumes existing enterprise licence terms</w:t>
            </w:r>
          </w:p>
        </w:tc>
      </w:tr>
      <w:tr>
        <w:trPr>
          <w:cantSplit/>
        </w:trPr>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Tooling, observability, dev infrastructure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~£0.5m</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Atlassian, GitHub Enterprise, OpenTelemetry stack, Grafana Cloud</w:t>
            </w:r>
          </w:p>
        </w:tc>
      </w:tr>
      <w:tr>
        <w:trPr>
          <w:cantSplit/>
        </w:trPr>
        <w:tc>
          <w:tcPr>
            <w:tcW w:type="dxa" w:w="3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color w:val="1F2A44"/>
                <w:sz w:val="20"/>
                <w:szCs w:val="20"/>
              </w:rPr>
              <w:t xml:space="preserve">Total annual run-rate at peak</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~£20.5m</w:t>
            </w:r>
          </w:p>
        </w:tc>
        <w:tc>
          <w:tcPr>
            <w:tcW w:type="dxa" w:w="3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pPr>
              <w:spacing w:after="30"/>
            </w:pPr>
            <w:r>
              <w:rPr>
                <w:rFonts w:ascii="Calibri" w:cs="Calibri" w:eastAsia="Calibri" w:hAnsi="Calibri"/>
                <w:b w:val="false"/>
                <w:bCs w:val="false"/>
                <w:color w:val="1F2A44"/>
                <w:sz w:val="20"/>
                <w:szCs w:val="20"/>
              </w:rPr>
              <w:t xml:space="preserve">Programme delivery cost; not BAU</w:t>
            </w:r>
          </w:p>
        </w:tc>
      </w:tr>
    </w:tbl>
    <w:p>
      <w:pPr>
        <w:spacing w:after="200" w:line="300"/>
      </w:pPr>
      <w:r>
        <w:rPr>
          <w:rFonts w:ascii="Calibri" w:cs="Calibri" w:eastAsia="Calibri" w:hAnsi="Calibri"/>
          <w:color w:val="1F2A44"/>
          <w:sz w:val="22"/>
          <w:szCs w:val="22"/>
        </w:rPr>
        <w:t xml:space="preserve">Total programme cost over the 18–24 month delivery, rolled up across all phases (with mobilisation lower and stabilisation tapering), lands in the order of £30–40m. Set against the customer’s stated capital-efficiency thesis — ‘material revenue gains’ from extending EAD discipline to exposure management — this is a defensible business case if even a fraction of the capital release is realised. The Treasury / Risk capital committee should commission a separate benefits case to validate.</w:t>
      </w:r>
    </w:p>
    <w:p>
      <w:pPr>
        <w:pStyle w:val="Heading1"/>
        <w:pBdr>
          <w:bottom w:val="single" w:color="C8841A" w:sz="12" w:space="6"/>
        </w:pBdr>
        <w:spacing w:after="160" w:before="320"/>
      </w:pPr>
      <w:r>
        <w:rPr>
          <w:rFonts w:ascii="Calibri" w:cs="Calibri" w:eastAsia="Calibri" w:hAnsi="Calibri"/>
          <w:b/>
          <w:bCs/>
          <w:color w:val="0B2447"/>
          <w:sz w:val="32"/>
          <w:szCs w:val="32"/>
        </w:rPr>
        <w:t xml:space="preserve">11. Closing</w:t>
      </w:r>
    </w:p>
    <w:p>
      <w:pPr>
        <w:spacing w:after="120" w:line="300"/>
      </w:pPr>
      <w:r>
        <w:rPr>
          <w:rFonts w:ascii="Calibri" w:cs="Calibri" w:eastAsia="Calibri" w:hAnsi="Calibri"/>
          <w:color w:val="1F2A44"/>
          <w:sz w:val="22"/>
          <w:szCs w:val="22"/>
        </w:rPr>
        <w:t xml:space="preserve">This resourcing model is opinionated. It reflects what a regulated, intra-day risk platform of this scope actually requires to deliver, based on patterns from comparable programmes at peer institutions. The most important features of the model are not the headcount totals but the shape: the strict separation between core capability teams and feature teams; the embedded Risk SMEs in every feature team; the front-loaded mobilisation of platform foundations; and the permanent / contractor split designed to flex around the build curve.</w:t>
      </w:r>
    </w:p>
    <w:p>
      <w:pPr>
        <w:spacing w:after="120" w:line="300"/>
      </w:pPr>
      <w:r>
        <w:rPr>
          <w:rFonts w:ascii="Calibri" w:cs="Calibri" w:eastAsia="Calibri" w:hAnsi="Calibri"/>
          <w:i/>
          <w:iCs/>
          <w:color w:val="5A6B8A"/>
          <w:sz w:val="22"/>
          <w:szCs w:val="22"/>
        </w:rPr>
        <w:t xml:space="preserve">Adjustments to the model should be made deliberately and with explicit rationale. Reducing the Risk SME commitment, removing the Quant Library team, or merging core capabilities into single super-teams are all common cost-saving moves at the start of a programme — and all of them tend to surface as expensive defects 12 months later. Where pressure to reduce headcount comes, the right place to apply it is the contractor flex, not the permanent spine.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8A"/>
        <w:sz w:val="18"/>
        <w:szCs w:val="18"/>
      </w:rPr>
      <w:t xml:space="preserve">Page </w:t>
    </w:r>
    <w:r>
      <w:rPr>
        <w:rFonts w:ascii="Calibri" w:cs="Calibri" w:eastAsia="Calibri" w:hAnsi="Calibri"/>
        <w:color w:val="5A6B8A"/>
        <w:sz w:val="18"/>
        <w:szCs w:val="18"/>
      </w:rPr>
      <w:fldChar w:fldCharType="begin"/>
      <w:instrText xml:space="preserve">PAGE</w:instrText>
      <w:fldChar w:fldCharType="separate"/>
      <w:fldChar w:fldCharType="end"/>
    </w:r>
    <w:r>
      <w:rPr>
        <w:rFonts w:ascii="Calibri" w:cs="Calibri" w:eastAsia="Calibri" w:hAnsi="Calibri"/>
        <w:color w:val="5A6B8A"/>
        <w:sz w:val="18"/>
        <w:szCs w:val="18"/>
      </w:rPr>
      <w:t xml:space="preserve"> of </w:t>
    </w:r>
    <w:r>
      <w:rPr>
        <w:rFonts w:ascii="Calibri" w:cs="Calibri" w:eastAsia="Calibri" w:hAnsi="Calibri"/>
        <w:color w:val="5A6B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A6B8A"/>
        <w:sz w:val="18"/>
        <w:szCs w:val="18"/>
      </w:rPr>
      <w:t xml:space="preserve">Core Risk Platform  ·  Resourcing &amp; Phasing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B2447"/>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9376D"/>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F2A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Risk Platform — Resourcing &amp; Phasing</dc:title>
  <dc:creator>Enterprise &amp; Solution Architecture</dc:creator>
  <dc:description>Team composition, role profiles, headcount and phased ramp.</dc:description>
  <cp:lastModifiedBy>Un-named</cp:lastModifiedBy>
  <cp:revision>1</cp:revision>
  <dcterms:created xsi:type="dcterms:W3CDTF">2026-04-27T22:56:23.636Z</dcterms:created>
  <dcterms:modified xsi:type="dcterms:W3CDTF">2026-04-27T22:56:23.637Z</dcterms:modified>
</cp:coreProperties>
</file>

<file path=docProps/custom.xml><?xml version="1.0" encoding="utf-8"?>
<Properties xmlns="http://schemas.openxmlformats.org/officeDocument/2006/custom-properties" xmlns:vt="http://schemas.openxmlformats.org/officeDocument/2006/docPropsVTypes"/>
</file>