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C1B" w:rsidRDefault="00B23C1B" w:rsidP="00B23C1B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660000"/>
        </w:rPr>
      </w:pPr>
      <w:r>
        <w:rPr>
          <w:color w:val="660000"/>
        </w:rPr>
        <w:t xml:space="preserve">The raw reads of the 30 ST22 S. </w:t>
      </w:r>
      <w:proofErr w:type="spellStart"/>
      <w:r>
        <w:rPr>
          <w:color w:val="660000"/>
        </w:rPr>
        <w:t>aureus</w:t>
      </w:r>
      <w:proofErr w:type="spellEnd"/>
      <w:r>
        <w:rPr>
          <w:color w:val="660000"/>
        </w:rPr>
        <w:t xml:space="preserve"> genomes sequenced in this study were deposited in </w:t>
      </w:r>
      <w:proofErr w:type="spellStart"/>
      <w:r>
        <w:rPr>
          <w:color w:val="660000"/>
        </w:rPr>
        <w:t>GenBank</w:t>
      </w:r>
      <w:proofErr w:type="spellEnd"/>
      <w:r>
        <w:rPr>
          <w:color w:val="660000"/>
        </w:rPr>
        <w:t xml:space="preserve"> under </w:t>
      </w:r>
      <w:proofErr w:type="spellStart"/>
      <w:r>
        <w:rPr>
          <w:color w:val="660000"/>
        </w:rPr>
        <w:t>BioProject</w:t>
      </w:r>
      <w:proofErr w:type="spellEnd"/>
      <w:r>
        <w:rPr>
          <w:color w:val="660000"/>
        </w:rPr>
        <w:t xml:space="preserve"> accession no. PRJNA929648.</w:t>
      </w:r>
    </w:p>
    <w:p w:rsidR="00B23C1B" w:rsidRDefault="00B23C1B" w:rsidP="00B23C1B">
      <w:pPr>
        <w:pStyle w:val="normal0"/>
        <w:ind w:left="1440"/>
        <w:rPr>
          <w:color w:val="274E13"/>
        </w:rPr>
      </w:pPr>
    </w:p>
    <w:p w:rsidR="00B23C1B" w:rsidRDefault="00B23C1B" w:rsidP="00B23C1B">
      <w:pPr>
        <w:pStyle w:val="normal0"/>
        <w:rPr>
          <w:rFonts w:ascii="Times New Roman" w:eastAsia="Times New Roman" w:hAnsi="Times New Roman" w:cs="Times New Roman"/>
          <w:color w:val="66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660000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i/>
          <w:color w:val="660000"/>
          <w:sz w:val="24"/>
          <w:szCs w:val="24"/>
        </w:rPr>
        <w:t>Kibdelosporangium</w:t>
      </w:r>
      <w:proofErr w:type="spellEnd"/>
      <w:r>
        <w:rPr>
          <w:rFonts w:ascii="Times New Roman" w:eastAsia="Times New Roman" w:hAnsi="Times New Roman" w:cs="Times New Roman"/>
          <w:i/>
          <w:color w:val="66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660000"/>
          <w:sz w:val="24"/>
          <w:szCs w:val="24"/>
        </w:rPr>
        <w:t>philippinense</w:t>
      </w:r>
      <w:proofErr w:type="spellEnd"/>
      <w:r>
        <w:rPr>
          <w:rFonts w:ascii="Times New Roman" w:eastAsia="Times New Roman" w:hAnsi="Times New Roman" w:cs="Times New Roman"/>
          <w:i/>
          <w:color w:val="66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660000"/>
          <w:sz w:val="24"/>
          <w:szCs w:val="24"/>
        </w:rPr>
        <w:t>ATCC 49844</w:t>
      </w:r>
      <w:r>
        <w:rPr>
          <w:rFonts w:ascii="Times New Roman" w:eastAsia="Times New Roman" w:hAnsi="Times New Roman" w:cs="Times New Roman"/>
          <w:color w:val="660000"/>
          <w:sz w:val="24"/>
          <w:szCs w:val="24"/>
          <w:vertAlign w:val="superscript"/>
        </w:rPr>
        <w:t>T</w:t>
      </w:r>
      <w:r>
        <w:rPr>
          <w:rFonts w:ascii="Times New Roman" w:eastAsia="Times New Roman" w:hAnsi="Times New Roman" w:cs="Times New Roman"/>
          <w:i/>
          <w:color w:val="66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660000"/>
          <w:sz w:val="24"/>
          <w:szCs w:val="24"/>
        </w:rPr>
        <w:t>whole genome shotgun sequence (WGS) project has been deposited at DDBJ/ENA/</w:t>
      </w:r>
      <w:proofErr w:type="spellStart"/>
      <w:r>
        <w:rPr>
          <w:rFonts w:ascii="Times New Roman" w:eastAsia="Times New Roman" w:hAnsi="Times New Roman" w:cs="Times New Roman"/>
          <w:color w:val="660000"/>
          <w:sz w:val="24"/>
          <w:szCs w:val="24"/>
        </w:rPr>
        <w:t>GenBank</w:t>
      </w:r>
      <w:proofErr w:type="spellEnd"/>
      <w:r>
        <w:rPr>
          <w:rFonts w:ascii="Times New Roman" w:eastAsia="Times New Roman" w:hAnsi="Times New Roman" w:cs="Times New Roman"/>
          <w:color w:val="660000"/>
          <w:sz w:val="24"/>
          <w:szCs w:val="24"/>
        </w:rPr>
        <w:t xml:space="preserve"> under accession</w:t>
      </w:r>
      <w:hyperlink r:id="rId4">
        <w:r>
          <w:rPr>
            <w:rFonts w:ascii="Times New Roman" w:eastAsia="Times New Roman" w:hAnsi="Times New Roman" w:cs="Times New Roman"/>
            <w:color w:val="660000"/>
            <w:sz w:val="24"/>
            <w:szCs w:val="24"/>
          </w:rPr>
          <w:t xml:space="preserve"> </w:t>
        </w:r>
      </w:hyperlink>
      <w:hyperlink r:id="rId5">
        <w:r>
          <w:rPr>
            <w:rFonts w:ascii="Times New Roman" w:eastAsia="Times New Roman" w:hAnsi="Times New Roman" w:cs="Times New Roman"/>
            <w:color w:val="660000"/>
            <w:sz w:val="24"/>
            <w:szCs w:val="24"/>
            <w:u w:val="single"/>
          </w:rPr>
          <w:t>JAJVCN000000000</w:t>
        </w:r>
      </w:hyperlink>
      <w:r>
        <w:rPr>
          <w:rFonts w:ascii="Times New Roman" w:eastAsia="Times New Roman" w:hAnsi="Times New Roman" w:cs="Times New Roman"/>
          <w:color w:val="660000"/>
          <w:sz w:val="24"/>
          <w:szCs w:val="24"/>
        </w:rPr>
        <w:t xml:space="preserve">. The raw data from </w:t>
      </w:r>
      <w:proofErr w:type="spellStart"/>
      <w:r>
        <w:rPr>
          <w:rFonts w:ascii="Times New Roman" w:eastAsia="Times New Roman" w:hAnsi="Times New Roman" w:cs="Times New Roman"/>
          <w:color w:val="660000"/>
          <w:sz w:val="24"/>
          <w:szCs w:val="24"/>
        </w:rPr>
        <w:t>BioProject</w:t>
      </w:r>
      <w:proofErr w:type="spellEnd"/>
      <w:r>
        <w:fldChar w:fldCharType="begin"/>
      </w:r>
      <w:r>
        <w:instrText>HYPERLINK "https://www.ncbi.nlm.nih.gov/bioproject/PRJNA790681" \h</w:instrText>
      </w:r>
      <w:r>
        <w:fldChar w:fldCharType="separate"/>
      </w:r>
      <w:r>
        <w:rPr>
          <w:rFonts w:ascii="Times New Roman" w:eastAsia="Times New Roman" w:hAnsi="Times New Roman" w:cs="Times New Roman"/>
          <w:color w:val="660000"/>
          <w:sz w:val="24"/>
          <w:szCs w:val="24"/>
        </w:rPr>
        <w:t xml:space="preserve"> </w:t>
      </w:r>
      <w:r>
        <w:fldChar w:fldCharType="end"/>
      </w:r>
      <w:hyperlink r:id="rId6">
        <w:r>
          <w:rPr>
            <w:rFonts w:ascii="Times New Roman" w:eastAsia="Times New Roman" w:hAnsi="Times New Roman" w:cs="Times New Roman"/>
            <w:color w:val="660000"/>
            <w:sz w:val="24"/>
            <w:szCs w:val="24"/>
            <w:u w:val="single"/>
          </w:rPr>
          <w:t>PRJNA790681</w:t>
        </w:r>
      </w:hyperlink>
      <w:r>
        <w:rPr>
          <w:rFonts w:ascii="Times New Roman" w:eastAsia="Times New Roman" w:hAnsi="Times New Roman" w:cs="Times New Roman"/>
          <w:color w:val="660000"/>
          <w:sz w:val="24"/>
          <w:szCs w:val="24"/>
        </w:rPr>
        <w:t xml:space="preserve"> were submitted to the NCBI Sequence Read Archive (SRA) under three experiment accession numbers:</w:t>
      </w:r>
      <w:hyperlink r:id="rId7">
        <w:r>
          <w:rPr>
            <w:rFonts w:ascii="Times New Roman" w:eastAsia="Times New Roman" w:hAnsi="Times New Roman" w:cs="Times New Roman"/>
            <w:color w:val="660000"/>
            <w:sz w:val="24"/>
            <w:szCs w:val="24"/>
          </w:rPr>
          <w:t xml:space="preserve"> </w:t>
        </w:r>
      </w:hyperlink>
      <w:hyperlink r:id="rId8">
        <w:r>
          <w:rPr>
            <w:rFonts w:ascii="Times New Roman" w:eastAsia="Times New Roman" w:hAnsi="Times New Roman" w:cs="Times New Roman"/>
            <w:color w:val="660000"/>
            <w:sz w:val="24"/>
            <w:szCs w:val="24"/>
            <w:u w:val="single"/>
          </w:rPr>
          <w:t>SRX13551729</w:t>
        </w:r>
      </w:hyperlink>
      <w:r>
        <w:rPr>
          <w:rFonts w:ascii="Times New Roman" w:eastAsia="Times New Roman" w:hAnsi="Times New Roman" w:cs="Times New Roman"/>
          <w:color w:val="66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660000"/>
          <w:sz w:val="24"/>
          <w:szCs w:val="24"/>
        </w:rPr>
        <w:t>Illumina</w:t>
      </w:r>
      <w:proofErr w:type="spellEnd"/>
      <w:r>
        <w:rPr>
          <w:rFonts w:ascii="Times New Roman" w:eastAsia="Times New Roman" w:hAnsi="Times New Roman" w:cs="Times New Roman"/>
          <w:color w:val="66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60000"/>
          <w:sz w:val="24"/>
          <w:szCs w:val="24"/>
        </w:rPr>
        <w:t>fastq</w:t>
      </w:r>
      <w:proofErr w:type="spellEnd"/>
      <w:r>
        <w:rPr>
          <w:rFonts w:ascii="Times New Roman" w:eastAsia="Times New Roman" w:hAnsi="Times New Roman" w:cs="Times New Roman"/>
          <w:color w:val="660000"/>
          <w:sz w:val="24"/>
          <w:szCs w:val="24"/>
        </w:rPr>
        <w:t xml:space="preserve"> files),</w:t>
      </w:r>
      <w:hyperlink r:id="rId9">
        <w:r>
          <w:rPr>
            <w:rFonts w:ascii="Times New Roman" w:eastAsia="Times New Roman" w:hAnsi="Times New Roman" w:cs="Times New Roman"/>
            <w:color w:val="660000"/>
            <w:sz w:val="24"/>
            <w:szCs w:val="24"/>
          </w:rPr>
          <w:t xml:space="preserve"> </w:t>
        </w:r>
      </w:hyperlink>
      <w:hyperlink r:id="rId10">
        <w:r>
          <w:rPr>
            <w:rFonts w:ascii="Times New Roman" w:eastAsia="Times New Roman" w:hAnsi="Times New Roman" w:cs="Times New Roman"/>
            <w:color w:val="660000"/>
            <w:sz w:val="24"/>
            <w:szCs w:val="24"/>
            <w:u w:val="single"/>
          </w:rPr>
          <w:t>SRX13555714</w:t>
        </w:r>
      </w:hyperlink>
      <w:r>
        <w:rPr>
          <w:rFonts w:ascii="Times New Roman" w:eastAsia="Times New Roman" w:hAnsi="Times New Roman" w:cs="Times New Roman"/>
          <w:color w:val="66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660000"/>
          <w:sz w:val="24"/>
          <w:szCs w:val="24"/>
        </w:rPr>
        <w:t>Nanopore</w:t>
      </w:r>
      <w:proofErr w:type="spellEnd"/>
      <w:r>
        <w:rPr>
          <w:rFonts w:ascii="Times New Roman" w:eastAsia="Times New Roman" w:hAnsi="Times New Roman" w:cs="Times New Roman"/>
          <w:color w:val="660000"/>
          <w:sz w:val="24"/>
          <w:szCs w:val="24"/>
        </w:rPr>
        <w:t xml:space="preserve"> reads in </w:t>
      </w:r>
      <w:proofErr w:type="spellStart"/>
      <w:r>
        <w:rPr>
          <w:rFonts w:ascii="Times New Roman" w:eastAsia="Times New Roman" w:hAnsi="Times New Roman" w:cs="Times New Roman"/>
          <w:color w:val="660000"/>
          <w:sz w:val="24"/>
          <w:szCs w:val="24"/>
        </w:rPr>
        <w:t>fastq</w:t>
      </w:r>
      <w:proofErr w:type="spellEnd"/>
      <w:r>
        <w:rPr>
          <w:rFonts w:ascii="Times New Roman" w:eastAsia="Times New Roman" w:hAnsi="Times New Roman" w:cs="Times New Roman"/>
          <w:color w:val="660000"/>
          <w:sz w:val="24"/>
          <w:szCs w:val="24"/>
        </w:rPr>
        <w:t xml:space="preserve"> format), and</w:t>
      </w:r>
      <w:hyperlink r:id="rId11">
        <w:r>
          <w:rPr>
            <w:rFonts w:ascii="Times New Roman" w:eastAsia="Times New Roman" w:hAnsi="Times New Roman" w:cs="Times New Roman"/>
            <w:color w:val="660000"/>
            <w:sz w:val="24"/>
            <w:szCs w:val="24"/>
          </w:rPr>
          <w:t xml:space="preserve"> </w:t>
        </w:r>
      </w:hyperlink>
      <w:hyperlink r:id="rId12">
        <w:r>
          <w:rPr>
            <w:rFonts w:ascii="Times New Roman" w:eastAsia="Times New Roman" w:hAnsi="Times New Roman" w:cs="Times New Roman"/>
            <w:color w:val="660000"/>
            <w:sz w:val="24"/>
            <w:szCs w:val="24"/>
            <w:u w:val="single"/>
          </w:rPr>
          <w:t>SRX13556647</w:t>
        </w:r>
      </w:hyperlink>
      <w:r>
        <w:rPr>
          <w:rFonts w:ascii="Times New Roman" w:eastAsia="Times New Roman" w:hAnsi="Times New Roman" w:cs="Times New Roman"/>
          <w:color w:val="66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660000"/>
          <w:sz w:val="24"/>
          <w:szCs w:val="24"/>
        </w:rPr>
        <w:t>Nanopore</w:t>
      </w:r>
      <w:proofErr w:type="spellEnd"/>
      <w:r>
        <w:rPr>
          <w:rFonts w:ascii="Times New Roman" w:eastAsia="Times New Roman" w:hAnsi="Times New Roman" w:cs="Times New Roman"/>
          <w:color w:val="660000"/>
          <w:sz w:val="24"/>
          <w:szCs w:val="24"/>
        </w:rPr>
        <w:t xml:space="preserve"> reads in fast5 format).</w:t>
      </w:r>
    </w:p>
    <w:p w:rsidR="00B23C1B" w:rsidRDefault="00B23C1B" w:rsidP="00B23C1B">
      <w:pPr>
        <w:pStyle w:val="normal0"/>
        <w:rPr>
          <w:color w:val="274E13"/>
        </w:rPr>
      </w:pPr>
    </w:p>
    <w:p w:rsidR="00B23C1B" w:rsidRDefault="00B23C1B" w:rsidP="00B23C1B">
      <w:pPr>
        <w:pStyle w:val="normal0"/>
        <w:jc w:val="both"/>
      </w:pPr>
      <w:r>
        <w:rPr>
          <w:color w:val="660000"/>
        </w:rPr>
        <w:t>The complete genome sequences were deposited in National Center for Biotechnology Information (NCBI) under the accession number CP110363 (</w:t>
      </w:r>
      <w:hyperlink r:id="rId13">
        <w:r>
          <w:rPr>
            <w:color w:val="660000"/>
            <w:u w:val="single"/>
          </w:rPr>
          <w:t>https://www.ncbi.nlm.nih.gov/nuccore/CP110363</w:t>
        </w:r>
      </w:hyperlink>
      <w:r>
        <w:rPr>
          <w:color w:val="660000"/>
        </w:rPr>
        <w:t xml:space="preserve">). The raw sequences obtained from </w:t>
      </w:r>
      <w:proofErr w:type="spellStart"/>
      <w:r>
        <w:rPr>
          <w:color w:val="660000"/>
        </w:rPr>
        <w:t>Nanopore</w:t>
      </w:r>
      <w:proofErr w:type="spellEnd"/>
      <w:r>
        <w:rPr>
          <w:color w:val="660000"/>
        </w:rPr>
        <w:t xml:space="preserve"> </w:t>
      </w:r>
      <w:proofErr w:type="spellStart"/>
      <w:r>
        <w:rPr>
          <w:color w:val="660000"/>
        </w:rPr>
        <w:t>PromethION</w:t>
      </w:r>
      <w:proofErr w:type="spellEnd"/>
      <w:r>
        <w:rPr>
          <w:color w:val="660000"/>
        </w:rPr>
        <w:t xml:space="preserve"> sequencer were deposited in the Sequence Read Archive under the </w:t>
      </w:r>
      <w:proofErr w:type="spellStart"/>
      <w:r>
        <w:rPr>
          <w:color w:val="660000"/>
        </w:rPr>
        <w:t>BioProject</w:t>
      </w:r>
      <w:proofErr w:type="spellEnd"/>
      <w:r>
        <w:rPr>
          <w:color w:val="660000"/>
        </w:rPr>
        <w:t xml:space="preserve"> PRJNA895949 (</w:t>
      </w:r>
      <w:hyperlink r:id="rId14">
        <w:r>
          <w:rPr>
            <w:color w:val="660000"/>
            <w:u w:val="single"/>
          </w:rPr>
          <w:t>https://www.ncbi.nlm.nih.gov/bioproject/PRJNA895949</w:t>
        </w:r>
      </w:hyperlink>
      <w:r>
        <w:rPr>
          <w:color w:val="660000"/>
        </w:rPr>
        <w:t xml:space="preserve">). The raw sequences obtained from DNBSEQ-T7RS platform were deposited in the Sequence Read Archive under the </w:t>
      </w:r>
      <w:proofErr w:type="spellStart"/>
      <w:r>
        <w:rPr>
          <w:color w:val="660000"/>
        </w:rPr>
        <w:t>BioProject</w:t>
      </w:r>
      <w:proofErr w:type="spellEnd"/>
      <w:r>
        <w:rPr>
          <w:color w:val="660000"/>
        </w:rPr>
        <w:t xml:space="preserve"> PRJNA898672 (</w:t>
      </w:r>
      <w:hyperlink r:id="rId15">
        <w:r>
          <w:rPr>
            <w:color w:val="660000"/>
            <w:u w:val="single"/>
          </w:rPr>
          <w:t>https://www.ncbi.nlm.nih.gov/bioproject/PRJNA898672</w:t>
        </w:r>
      </w:hyperlink>
      <w:r>
        <w:rPr>
          <w:color w:val="660000"/>
        </w:rPr>
        <w:t>).</w:t>
      </w:r>
    </w:p>
    <w:p w:rsidR="00723FE9" w:rsidRDefault="00B23C1B"/>
    <w:sectPr w:rsidR="00723FE9" w:rsidSect="00D74E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B23C1B"/>
    <w:rsid w:val="00082D73"/>
    <w:rsid w:val="00250996"/>
    <w:rsid w:val="00B23C1B"/>
    <w:rsid w:val="00D74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E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23C1B"/>
    <w:pPr>
      <w:spacing w:after="0"/>
    </w:pPr>
    <w:rPr>
      <w:rFonts w:ascii="Arial" w:eastAsia="Arial" w:hAnsi="Arial" w:cs="Arial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sra/SRX13551729%5baccn%5d" TargetMode="External"/><Relationship Id="rId13" Type="http://schemas.openxmlformats.org/officeDocument/2006/relationships/hyperlink" Target="https://www.ncbi.nlm.nih.gov/nuccore/CP11036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cbi.nlm.nih.gov/sra/SRX13551729%5baccn%5d" TargetMode="External"/><Relationship Id="rId12" Type="http://schemas.openxmlformats.org/officeDocument/2006/relationships/hyperlink" Target="https://www.ncbi.nlm.nih.gov/sra/SRX13556647%5baccn%5d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ncbi.nlm.nih.gov/bioproject/PRJNA790681" TargetMode="External"/><Relationship Id="rId11" Type="http://schemas.openxmlformats.org/officeDocument/2006/relationships/hyperlink" Target="https://www.ncbi.nlm.nih.gov/sra/SRX13556647%5baccn%5d" TargetMode="External"/><Relationship Id="rId5" Type="http://schemas.openxmlformats.org/officeDocument/2006/relationships/hyperlink" Target="https://www.ncbi.nlm.nih.gov/nuccore/JAJVCN000000000" TargetMode="External"/><Relationship Id="rId15" Type="http://schemas.openxmlformats.org/officeDocument/2006/relationships/hyperlink" Target="https://www.ncbi.nlm.nih.gov/bioproject/PRJNA898672" TargetMode="External"/><Relationship Id="rId10" Type="http://schemas.openxmlformats.org/officeDocument/2006/relationships/hyperlink" Target="https://www.ncbi.nlm.nih.gov/sra/SRX13555714%5baccn%5d" TargetMode="External"/><Relationship Id="rId4" Type="http://schemas.openxmlformats.org/officeDocument/2006/relationships/hyperlink" Target="https://www.ncbi.nlm.nih.gov/nuccore/JAJVCN000000000" TargetMode="External"/><Relationship Id="rId9" Type="http://schemas.openxmlformats.org/officeDocument/2006/relationships/hyperlink" Target="https://www.ncbi.nlm.nih.gov/sra/SRX13555714%5baccn%5d" TargetMode="External"/><Relationship Id="rId14" Type="http://schemas.openxmlformats.org/officeDocument/2006/relationships/hyperlink" Target="https://www.ncbi.nlm.nih.gov/bioproject/PRJNA8959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Balamurugan213</dc:creator>
  <cp:lastModifiedBy>Balamurugan213</cp:lastModifiedBy>
  <cp:revision>1</cp:revision>
  <dcterms:created xsi:type="dcterms:W3CDTF">2023-07-04T17:51:00Z</dcterms:created>
  <dcterms:modified xsi:type="dcterms:W3CDTF">2023-07-04T17:52:00Z</dcterms:modified>
</cp:coreProperties>
</file>