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5.jpeg" ContentType="image/jpeg"/>
  <Override PartName="/word/media/image1.png" ContentType="image/png"/>
  <Override PartName="/word/media/image2.jpeg" ContentType="image/jpeg"/>
  <Override PartName="/word/media/image3.jpeg" ContentType="image/jpeg"/>
  <Override PartName="/word/media/image4.jpeg" ContentType="image/jpeg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ind w:left="1440" w:hanging="0"/>
        <w:rPr>
          <w:rFonts w:ascii="Verdana" w:hAnsi="Verdana" w:cs="Verdana"/>
          <w:b/>
          <w:b/>
          <w:bCs/>
          <w:sz w:val="19"/>
          <w:szCs w:val="19"/>
        </w:rPr>
      </w:pPr>
      <w:r>
        <w:rPr>
          <w:rFonts w:cs="Verdana" w:ascii="Verdana" w:hAnsi="Verdana"/>
          <w:b/>
          <w:bCs/>
          <w:sz w:val="19"/>
          <w:szCs w:val="19"/>
        </w:rPr>
      </w:r>
    </w:p>
    <w:p>
      <w:pPr>
        <w:pStyle w:val="Normal"/>
        <w:widowControl w:val="false"/>
        <w:snapToGrid w:val="false"/>
        <w:rPr/>
      </w:pPr>
      <w:r>
        <w:rPr>
          <w:rFonts w:cs="Arial" w:ascii="Arial" w:hAnsi="Arial"/>
          <w:color w:val="000000"/>
          <w:sz w:val="20"/>
          <w:szCs w:val="20"/>
        </w:rPr>
        <w:t>Ref Tender No:</w:t>
      </w:r>
      <w:r>
        <w:rPr>
          <w:rFonts w:cs="Arial" w:ascii="Arial" w:hAnsi="Arial"/>
          <w:color w:val="000000"/>
          <w:sz w:val="20"/>
          <w:szCs w:val="20"/>
          <w:highlight w:val="yellow"/>
        </w:rPr>
        <w:t>13/09/2025-26</w:t>
      </w:r>
    </w:p>
    <w:p>
      <w:pPr>
        <w:pStyle w:val="Normal"/>
        <w:widowControl w:val="false"/>
        <w:snapToGrid w:val="false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t>Date:</w:t>
      </w:r>
      <w:r>
        <w:rPr>
          <w:rFonts w:cs="Arial" w:ascii="Arial" w:hAnsi="Arial"/>
          <w:color w:val="000000"/>
          <w:sz w:val="20"/>
          <w:szCs w:val="20"/>
          <w:highlight w:val="yellow"/>
        </w:rPr>
        <w:t>19/09/2025</w:t>
      </w:r>
    </w:p>
    <w:p>
      <w:pPr>
        <w:pStyle w:val="Normal"/>
        <w:widowControl w:val="false"/>
        <w:snapToGrid w:val="false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ind w:left="142" w:hanging="0"/>
        <w:jc w:val="both"/>
        <w:rPr>
          <w:highlight w:val="yellow"/>
        </w:rPr>
      </w:pPr>
      <w:r>
        <w:rPr>
          <w:highlight w:val="yellow"/>
        </w:rPr>
        <w:t>The Secretary,</w:t>
      </w:r>
    </w:p>
    <w:p>
      <w:pPr>
        <w:pStyle w:val="Normal"/>
        <w:ind w:left="142" w:hanging="0"/>
        <w:jc w:val="both"/>
        <w:rPr>
          <w:highlight w:val="yellow"/>
        </w:rPr>
      </w:pPr>
      <w:r>
        <w:rPr>
          <w:highlight w:val="yellow"/>
        </w:rPr>
        <w:t>Ayaparambu Milk Co-Operative Society</w:t>
      </w:r>
    </w:p>
    <w:p>
      <w:pPr>
        <w:pStyle w:val="Normal"/>
        <w:ind w:left="142" w:hanging="0"/>
        <w:jc w:val="both"/>
        <w:rPr>
          <w:highlight w:val="yellow"/>
        </w:rPr>
      </w:pPr>
      <w:r>
        <w:rPr>
          <w:highlight w:val="yellow"/>
        </w:rPr>
        <w:t>Alappuzha-690517</w:t>
      </w:r>
    </w:p>
    <w:p>
      <w:pPr>
        <w:pStyle w:val="Normal"/>
        <w:spacing w:lineRule="auto" w:line="240" w:before="0" w:after="0"/>
        <w:ind w:left="1440" w:hanging="0"/>
        <w:rPr>
          <w:rFonts w:ascii="Verdana" w:hAnsi="Verdana" w:cs="Verdana"/>
          <w:b/>
          <w:b/>
          <w:bCs/>
          <w:sz w:val="19"/>
          <w:szCs w:val="19"/>
        </w:rPr>
      </w:pPr>
      <w:r>
        <w:rPr>
          <w:rFonts w:cs="Verdana" w:ascii="Verdana" w:hAnsi="Verdana"/>
          <w:b/>
          <w:bCs/>
          <w:sz w:val="19"/>
          <w:szCs w:val="19"/>
        </w:rPr>
      </w:r>
    </w:p>
    <w:p>
      <w:pPr>
        <w:pStyle w:val="Normal"/>
        <w:widowControl w:val="false"/>
        <w:tabs>
          <w:tab w:val="left" w:pos="567" w:leader="none"/>
        </w:tabs>
        <w:snapToGrid w:val="false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color w:val="000000"/>
          <w:sz w:val="21"/>
          <w:szCs w:val="21"/>
        </w:rPr>
        <w:t xml:space="preserve">  </w:t>
      </w:r>
      <w:r>
        <w:rPr>
          <w:rFonts w:cs="Arial" w:ascii="Arial" w:hAnsi="Arial"/>
          <w:color w:val="000000"/>
          <w:sz w:val="21"/>
          <w:szCs w:val="21"/>
        </w:rPr>
        <w:t>Respected Sir,</w:t>
      </w:r>
    </w:p>
    <w:p>
      <w:pPr>
        <w:pStyle w:val="Normal"/>
        <w:widowControl w:val="false"/>
        <w:snapToGrid w:val="false"/>
        <w:jc w:val="both"/>
        <w:rPr/>
      </w:pPr>
      <w:r>
        <w:rPr>
          <w:rFonts w:cs="Arial" w:ascii="Arial" w:hAnsi="Arial"/>
          <w:color w:val="000000"/>
          <w:sz w:val="21"/>
          <w:szCs w:val="21"/>
        </w:rPr>
        <w:t xml:space="preserve">GENFOCUS is a Electronic house operating in the Electronic industry for the past 08+ years. We have executed projects in the local as well as overseas market and has got a good clientele world-wide. </w:t>
      </w:r>
    </w:p>
    <w:p>
      <w:pPr>
        <w:pStyle w:val="Normal"/>
        <w:widowControl w:val="false"/>
        <w:tabs>
          <w:tab w:val="left" w:pos="567" w:leader="none"/>
        </w:tabs>
        <w:snapToGrid w:val="false"/>
        <w:rPr/>
      </w:pPr>
      <w:r>
        <w:rPr/>
      </w:r>
    </w:p>
    <w:p>
      <w:pPr>
        <w:pStyle w:val="Normal"/>
        <w:widowControl w:val="false"/>
        <w:tabs>
          <w:tab w:val="left" w:pos="567" w:leader="none"/>
        </w:tabs>
        <w:snapToGrid w:val="false"/>
        <w:rPr/>
      </w:pPr>
      <w:r>
        <w:rPr/>
      </w:r>
    </w:p>
    <w:p>
      <w:pPr>
        <w:pStyle w:val="Normal"/>
        <w:tabs>
          <w:tab w:val="left" w:pos="2085" w:leader="none"/>
        </w:tabs>
        <w:rPr/>
      </w:pPr>
      <w:r>
        <w:rPr/>
        <w:drawing>
          <wp:inline distT="0" distB="0" distL="0" distR="0">
            <wp:extent cx="1428750" cy="666750"/>
            <wp:effectExtent l="0" t="0" r="0" b="0"/>
            <wp:docPr id="1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19050" distR="0">
            <wp:extent cx="1524000" cy="1485900"/>
            <wp:effectExtent l="0" t="0" r="0" b="0"/>
            <wp:docPr id="2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left" w:pos="2085" w:leader="none"/>
        </w:tabs>
        <w:rPr/>
      </w:pPr>
      <w:r>
        <w:rPr/>
        <w:t xml:space="preserve">             </w:t>
      </w:r>
      <w:r>
        <w:rPr/>
        <w:t>Aju.c</w:t>
      </w:r>
    </w:p>
    <w:p>
      <w:pPr>
        <w:pStyle w:val="Normal"/>
        <w:tabs>
          <w:tab w:val="left" w:pos="2085" w:leader="none"/>
        </w:tabs>
        <w:rPr/>
      </w:pPr>
      <w:r>
        <w:rPr/>
        <w:t xml:space="preserve">Authorised signatory. </w:t>
      </w:r>
    </w:p>
    <w:p>
      <w:pPr>
        <w:pStyle w:val="Normal"/>
        <w:widowControl w:val="false"/>
        <w:snapToGrid w:val="false"/>
        <w:rPr/>
      </w:pPr>
      <w:r>
        <w:rPr>
          <w:rFonts w:cs="Arial" w:ascii="Arial" w:hAnsi="Arial"/>
          <w:color w:val="000000"/>
          <w:sz w:val="21"/>
          <w:szCs w:val="21"/>
        </w:rPr>
        <w:t xml:space="preserve">    </w:t>
      </w:r>
      <w:r>
        <w:rPr>
          <w:rFonts w:cs="Arial" w:ascii="Arial" w:hAnsi="Arial"/>
          <w:color w:val="000000"/>
          <w:sz w:val="21"/>
          <w:szCs w:val="21"/>
        </w:rPr>
        <w:t>Thanking You</w:t>
      </w:r>
    </w:p>
    <w:p>
      <w:pPr>
        <w:pStyle w:val="Normal"/>
        <w:widowControl w:val="false"/>
        <w:snapToGrid w:val="false"/>
        <w:rPr>
          <w:rFonts w:ascii="Verdana" w:hAnsi="Verdana" w:cs="Verdana"/>
          <w:b/>
          <w:b/>
          <w:bCs/>
          <w:sz w:val="19"/>
          <w:szCs w:val="19"/>
        </w:rPr>
      </w:pPr>
      <w:r>
        <w:rPr>
          <w:rFonts w:cs="Arial" w:ascii="Arial" w:hAnsi="Arial"/>
          <w:color w:val="000000"/>
          <w:sz w:val="21"/>
          <w:szCs w:val="21"/>
        </w:rPr>
        <w:tab/>
        <w:tab/>
        <w:tab/>
        <w:tab/>
        <w:tab/>
        <w:tab/>
        <w:t xml:space="preserve">                    .</w:t>
      </w:r>
      <w:r>
        <w:rPr/>
        <w:t xml:space="preserve"> </w:t>
      </w:r>
      <w:r>
        <w:rPr/>
        <w:drawing>
          <wp:inline distT="0" distB="0" distL="19050" distR="0">
            <wp:extent cx="2686050" cy="1543050"/>
            <wp:effectExtent l="0" t="0" r="0" b="0"/>
            <wp:docPr id="3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napToGrid w:val="false"/>
        <w:jc w:val="center"/>
        <w:rPr>
          <w:rFonts w:ascii="Arial Bold" w:hAnsi="Arial Bold" w:cs="Arial Bold"/>
          <w:color w:val="000000"/>
          <w:sz w:val="16"/>
          <w:szCs w:val="16"/>
        </w:rPr>
      </w:pPr>
      <w:r>
        <w:rPr>
          <w:rFonts w:cs="Arial Bold" w:ascii="Arial Bold" w:hAnsi="Arial Bold"/>
          <w:color w:val="000000"/>
          <w:sz w:val="16"/>
          <w:szCs w:val="16"/>
        </w:rPr>
      </w:r>
    </w:p>
    <w:p>
      <w:pPr>
        <w:pStyle w:val="Normal"/>
        <w:widowControl w:val="false"/>
        <w:snapToGrid w:val="false"/>
        <w:jc w:val="center"/>
        <w:rPr>
          <w:rFonts w:ascii="Arial Bold" w:hAnsi="Arial Bold" w:cs="Arial Bold"/>
          <w:color w:val="000000"/>
        </w:rPr>
      </w:pPr>
      <w:r>
        <w:rPr>
          <w:rFonts w:cs="Arial Bold" w:ascii="Arial Bold" w:hAnsi="Arial Bold"/>
          <w:color w:val="000000"/>
        </w:rPr>
        <w:t>COST OF  EWS ONLY</w:t>
      </w:r>
    </w:p>
    <w:p>
      <w:pPr>
        <w:pStyle w:val="Normal"/>
        <w:spacing w:lineRule="auto" w:line="240" w:before="0" w:after="0"/>
        <w:ind w:left="2880" w:firstLine="720"/>
        <w:rPr>
          <w:rFonts w:ascii="Verdana" w:hAnsi="Verdana" w:cs="Verdana"/>
          <w:b/>
          <w:b/>
          <w:bCs/>
          <w:sz w:val="19"/>
          <w:szCs w:val="19"/>
        </w:rPr>
      </w:pPr>
      <w:r>
        <w:rPr>
          <w:rFonts w:cs="Verdana" w:ascii="Verdana" w:hAnsi="Verdana"/>
          <w:b/>
          <w:bCs/>
          <w:sz w:val="19"/>
          <w:szCs w:val="19"/>
        </w:rPr>
      </w:r>
    </w:p>
    <w:p>
      <w:pPr>
        <w:pStyle w:val="Normal"/>
        <w:spacing w:lineRule="auto" w:line="240" w:before="0" w:after="0"/>
        <w:ind w:left="2880" w:firstLine="720"/>
        <w:rPr>
          <w:rFonts w:ascii="Verdana" w:hAnsi="Verdana" w:cs="Verdana"/>
          <w:b/>
          <w:b/>
          <w:bCs/>
          <w:sz w:val="19"/>
          <w:szCs w:val="19"/>
        </w:rPr>
      </w:pPr>
      <w:r>
        <w:rPr>
          <w:rFonts w:cs="Verdana" w:ascii="Verdana" w:hAnsi="Verdana"/>
          <w:b/>
          <w:bCs/>
          <w:sz w:val="19"/>
          <w:szCs w:val="19"/>
        </w:rPr>
      </w:r>
    </w:p>
    <w:tbl>
      <w:tblPr>
        <w:tblStyle w:val="TableGrid"/>
        <w:tblW w:w="9747" w:type="dxa"/>
        <w:jc w:val="left"/>
        <w:tblInd w:w="250" w:type="dxa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728"/>
        <w:gridCol w:w="1672"/>
        <w:gridCol w:w="1673"/>
        <w:gridCol w:w="1673"/>
      </w:tblGrid>
      <w:tr>
        <w:trPr/>
        <w:tc>
          <w:tcPr>
            <w:tcW w:w="4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  <w:t>ITMES</w:t>
            </w:r>
          </w:p>
        </w:tc>
        <w:tc>
          <w:tcPr>
            <w:tcW w:w="167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  <w:t>MAKE</w:t>
            </w:r>
          </w:p>
        </w:tc>
        <w:tc>
          <w:tcPr>
            <w:tcW w:w="167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167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  <w:t>REMARKS</w:t>
            </w:r>
          </w:p>
        </w:tc>
      </w:tr>
      <w:tr>
        <w:trPr/>
        <w:tc>
          <w:tcPr>
            <w:tcW w:w="4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Arial" w:ascii="Arial" w:hAnsi="Arial"/>
                <w:b/>
                <w:color w:val="000000"/>
                <w:sz w:val="16"/>
                <w:szCs w:val="16"/>
              </w:rPr>
              <w:t>The cost of implementing   “</w:t>
            </w:r>
            <w:r>
              <w:rPr>
                <w:rFonts w:cs="Arial" w:ascii="Arial" w:hAnsi="Arial"/>
                <w:b/>
                <w:color w:val="000000"/>
                <w:sz w:val="16"/>
                <w:szCs w:val="16"/>
                <w:highlight w:val="yellow"/>
              </w:rPr>
              <w:t>EWS  ONLY</w:t>
            </w:r>
          </w:p>
        </w:tc>
        <w:tc>
          <w:tcPr>
            <w:tcW w:w="167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  <w:highlight w:val="yellow"/>
              </w:rPr>
              <w:t>ESSAE</w:t>
            </w:r>
          </w:p>
        </w:tc>
        <w:tc>
          <w:tcPr>
            <w:tcW w:w="167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  <w:highlight w:val="yellow"/>
              </w:rPr>
              <w:t>19600.00</w:t>
            </w:r>
          </w:p>
        </w:tc>
        <w:tc>
          <w:tcPr>
            <w:tcW w:w="167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  <w:t>NILL</w:t>
            </w:r>
          </w:p>
        </w:tc>
      </w:tr>
      <w:tr>
        <w:trPr/>
        <w:tc>
          <w:tcPr>
            <w:tcW w:w="4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67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67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67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</w:tr>
      <w:tr>
        <w:trPr/>
        <w:tc>
          <w:tcPr>
            <w:tcW w:w="4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67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67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67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</w:tr>
      <w:tr>
        <w:trPr/>
        <w:tc>
          <w:tcPr>
            <w:tcW w:w="4728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672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67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  <w:tc>
          <w:tcPr>
            <w:tcW w:w="1673" w:type="dxa"/>
            <w:tcBorders/>
            <w:shd w:fill="auto" w:val="clear"/>
            <w:tcMar>
              <w:left w:w="108" w:type="dxa"/>
            </w:tcMar>
          </w:tcPr>
          <w:p>
            <w:pPr>
              <w:pStyle w:val="Normal"/>
              <w:spacing w:lineRule="auto" w:line="240" w:before="0" w:after="0"/>
              <w:rPr>
                <w:rFonts w:ascii="Verdana" w:hAnsi="Verdana" w:cs="Verdana"/>
                <w:b/>
                <w:b/>
                <w:bCs/>
                <w:sz w:val="19"/>
                <w:szCs w:val="19"/>
              </w:rPr>
            </w:pPr>
            <w:r>
              <w:rPr>
                <w:rFonts w:cs="Verdana" w:ascii="Verdana" w:hAnsi="Verdana"/>
                <w:b/>
                <w:bCs/>
                <w:sz w:val="19"/>
                <w:szCs w:val="19"/>
              </w:rPr>
            </w:r>
          </w:p>
        </w:tc>
      </w:tr>
    </w:tbl>
    <w:p>
      <w:pPr>
        <w:pStyle w:val="Normal"/>
        <w:rPr>
          <w:rFonts w:ascii="Arial Bold" w:hAnsi="Arial Bold" w:cs="Arial Bold"/>
          <w:i/>
          <w:i/>
          <w:color w:val="000000"/>
          <w:sz w:val="21"/>
          <w:szCs w:val="21"/>
          <w:u w:val="single"/>
        </w:rPr>
      </w:pPr>
      <w:r>
        <w:rPr>
          <w:rFonts w:cs="Arial Bold" w:ascii="Arial Bold" w:hAnsi="Arial Bold"/>
          <w:i/>
          <w:color w:val="000000"/>
          <w:sz w:val="21"/>
          <w:szCs w:val="21"/>
        </w:rPr>
        <w:t xml:space="preserve">                                                         </w:t>
      </w:r>
      <w:r>
        <w:rPr>
          <w:rFonts w:cs="Arial Bold" w:ascii="Arial Bold" w:hAnsi="Arial Bold"/>
          <w:i/>
          <w:color w:val="000000"/>
          <w:sz w:val="21"/>
          <w:szCs w:val="21"/>
        </w:rPr>
        <w:tab/>
        <w:t xml:space="preserve">  </w:t>
      </w:r>
      <w:r>
        <w:rPr>
          <w:rFonts w:cs="Arial Bold" w:ascii="Arial Bold" w:hAnsi="Arial Bold"/>
          <w:i/>
          <w:color w:val="000000"/>
          <w:sz w:val="21"/>
          <w:szCs w:val="21"/>
          <w:u w:val="single"/>
        </w:rPr>
        <w:t>TERMS AND CONDITIONS</w:t>
      </w:r>
    </w:p>
    <w:p>
      <w:pPr>
        <w:pStyle w:val="Normal"/>
        <w:widowControl w:val="false"/>
        <w:tabs>
          <w:tab w:val="left" w:pos="4020" w:leader="none"/>
          <w:tab w:val="center" w:pos="5457" w:leader="none"/>
        </w:tabs>
        <w:snapToGrid w:val="false"/>
        <w:rPr/>
      </w:pPr>
      <w:r>
        <w:rPr>
          <w:rFonts w:cs="Arial Bold" w:ascii="Arial Bold" w:hAnsi="Arial Bold"/>
          <w:color w:val="000000"/>
          <w:sz w:val="21"/>
          <w:szCs w:val="21"/>
        </w:rPr>
        <w:tab/>
        <w:t>Onsite Support</w:t>
      </w:r>
    </w:p>
    <w:p>
      <w:pPr>
        <w:pStyle w:val="Normal"/>
        <w:widowControl w:val="false"/>
        <w:tabs>
          <w:tab w:val="left" w:pos="210" w:leader="none"/>
          <w:tab w:val="center" w:pos="5457" w:leader="none"/>
        </w:tabs>
        <w:snapToGrid w:val="false"/>
        <w:rPr/>
      </w:pPr>
      <w:r>
        <w:rPr>
          <w:rFonts w:cs="Arial" w:ascii="Arial" w:hAnsi="Arial"/>
          <w:color w:val="000000"/>
          <w:sz w:val="21"/>
          <w:szCs w:val="21"/>
        </w:rPr>
        <w:tab/>
        <w:t>We have got a service technician in place for providing adequate support for the  Office in time.</w:t>
      </w:r>
    </w:p>
    <w:p>
      <w:pPr>
        <w:pStyle w:val="Normal"/>
        <w:widowControl w:val="false"/>
        <w:tabs>
          <w:tab w:val="left" w:pos="3645" w:leader="none"/>
          <w:tab w:val="left" w:pos="3828" w:leader="none"/>
          <w:tab w:val="center" w:pos="5457" w:leader="none"/>
        </w:tabs>
        <w:snapToGrid w:val="false"/>
        <w:rPr/>
      </w:pPr>
      <w:r>
        <w:rPr>
          <w:rFonts w:cs="Arial Bold" w:ascii="Arial Bold" w:hAnsi="Arial Bold"/>
          <w:color w:val="000000"/>
          <w:sz w:val="21"/>
          <w:szCs w:val="21"/>
        </w:rPr>
        <w:tab/>
        <w:tab/>
        <w:t>Payment Terms</w:t>
      </w:r>
    </w:p>
    <w:p>
      <w:pPr>
        <w:pStyle w:val="Normal"/>
        <w:widowControl w:val="false"/>
        <w:snapToGrid w:val="false"/>
        <w:rPr/>
      </w:pPr>
      <w:r>
        <w:rPr>
          <w:rFonts w:cs="Arial" w:ascii="Arial" w:hAnsi="Arial"/>
          <w:color w:val="000000"/>
          <w:sz w:val="21"/>
          <w:szCs w:val="21"/>
        </w:rPr>
        <w:t xml:space="preserve">                                                     </w:t>
      </w:r>
      <w:r>
        <w:rPr>
          <w:rFonts w:cs="Arial" w:ascii="Arial" w:hAnsi="Arial"/>
          <w:color w:val="000000"/>
          <w:sz w:val="21"/>
          <w:szCs w:val="21"/>
        </w:rPr>
        <w:t>100% against Confirmed order</w:t>
      </w:r>
    </w:p>
    <w:p>
      <w:pPr>
        <w:pStyle w:val="Normal"/>
        <w:widowControl w:val="false"/>
        <w:snapToGrid w:val="false"/>
        <w:ind w:left="4320" w:firstLine="360"/>
        <w:rPr>
          <w:u w:val="single"/>
        </w:rPr>
      </w:pPr>
      <w:r>
        <w:rPr>
          <w:rFonts w:cs="Arial Bold" w:ascii="Arial Bold" w:hAnsi="Arial Bold"/>
          <w:color w:val="000000"/>
          <w:sz w:val="21"/>
          <w:szCs w:val="21"/>
          <w:u w:val="single"/>
        </w:rPr>
        <w:t xml:space="preserve">  </w:t>
      </w:r>
      <w:r>
        <w:rPr>
          <w:rFonts w:cs="Arial Bold" w:ascii="Arial Bold" w:hAnsi="Arial Bold"/>
          <w:color w:val="000000"/>
          <w:sz w:val="21"/>
          <w:szCs w:val="21"/>
          <w:u w:val="single"/>
        </w:rPr>
        <w:t>Warranty</w:t>
      </w:r>
    </w:p>
    <w:p>
      <w:pPr>
        <w:pStyle w:val="Normal"/>
        <w:widowControl w:val="false"/>
        <w:snapToGrid w:val="false"/>
        <w:spacing w:lineRule="auto" w:line="240" w:before="0" w:after="100"/>
        <w:ind w:left="720" w:hanging="0"/>
        <w:jc w:val="both"/>
        <w:rPr/>
      </w:pPr>
      <w:r>
        <w:rPr>
          <w:rFonts w:cs="Arial" w:ascii="Arial" w:hAnsi="Arial"/>
          <w:color w:val="000000"/>
          <w:sz w:val="21"/>
          <w:szCs w:val="21"/>
        </w:rPr>
        <w:t xml:space="preserve">        </w:t>
      </w:r>
      <w:r>
        <w:rPr>
          <w:rFonts w:cs="Arial" w:ascii="Arial" w:hAnsi="Arial"/>
          <w:color w:val="000000"/>
          <w:sz w:val="21"/>
          <w:szCs w:val="21"/>
        </w:rPr>
        <w:t>GENFOCUS warrants that the deliverables will meet specifications. The period of warranty</w:t>
      </w:r>
    </w:p>
    <w:p>
      <w:pPr>
        <w:pStyle w:val="Normal"/>
        <w:widowControl w:val="false"/>
        <w:snapToGrid w:val="false"/>
        <w:spacing w:lineRule="auto" w:line="240" w:before="0" w:after="100"/>
        <w:ind w:left="720" w:hanging="0"/>
        <w:jc w:val="both"/>
        <w:rPr/>
      </w:pPr>
      <w:r>
        <w:rPr>
          <w:rFonts w:cs="Arial" w:ascii="Arial" w:hAnsi="Arial"/>
          <w:color w:val="000000"/>
          <w:sz w:val="21"/>
          <w:szCs w:val="21"/>
        </w:rPr>
        <w:t>is limited to 12 months from the date of delivery or 12 months from the date of</w:t>
      </w:r>
    </w:p>
    <w:p>
      <w:pPr>
        <w:pStyle w:val="Normal"/>
        <w:widowControl w:val="false"/>
        <w:snapToGrid w:val="false"/>
        <w:spacing w:lineRule="auto" w:line="240" w:before="0" w:after="100"/>
        <w:ind w:left="720" w:hanging="0"/>
        <w:jc w:val="both"/>
        <w:rPr/>
      </w:pPr>
      <w:r>
        <w:rPr>
          <w:rFonts w:cs="Arial" w:ascii="Arial" w:hAnsi="Arial"/>
          <w:color w:val="000000"/>
          <w:sz w:val="21"/>
          <w:szCs w:val="21"/>
        </w:rPr>
        <w:t>installation, whichever is earlier. The guarantee however does not cover any damage</w:t>
      </w:r>
    </w:p>
    <w:p>
      <w:pPr>
        <w:pStyle w:val="Normal"/>
        <w:widowControl w:val="false"/>
        <w:snapToGrid w:val="false"/>
        <w:spacing w:lineRule="auto" w:line="240" w:before="0" w:after="100"/>
        <w:ind w:left="720" w:hanging="0"/>
        <w:jc w:val="both"/>
        <w:rPr/>
      </w:pPr>
      <w:r>
        <w:rPr>
          <w:rFonts w:cs="Arial" w:ascii="Arial" w:hAnsi="Arial"/>
          <w:color w:val="000000"/>
          <w:sz w:val="21"/>
          <w:szCs w:val="21"/>
        </w:rPr>
        <w:t>resulting from normal wear and tear or improper attendance or mishandling of the</w:t>
      </w:r>
    </w:p>
    <w:p>
      <w:pPr>
        <w:pStyle w:val="Normal"/>
        <w:widowControl w:val="false"/>
        <w:snapToGrid w:val="false"/>
        <w:spacing w:lineRule="auto" w:line="240" w:before="0" w:after="100"/>
        <w:ind w:left="720" w:hanging="0"/>
        <w:jc w:val="both"/>
        <w:rPr/>
      </w:pPr>
      <w:r>
        <w:rPr>
          <w:rFonts w:cs="Arial" w:ascii="Arial" w:hAnsi="Arial"/>
          <w:color w:val="000000"/>
          <w:sz w:val="21"/>
          <w:szCs w:val="21"/>
        </w:rPr>
        <w:t>equipment during repairs by personnel other than the supplier or his authorized</w:t>
      </w:r>
    </w:p>
    <w:p>
      <w:pPr>
        <w:pStyle w:val="Normal"/>
        <w:widowControl w:val="false"/>
        <w:snapToGrid w:val="false"/>
        <w:spacing w:lineRule="auto" w:line="240" w:before="0" w:after="100"/>
        <w:ind w:left="720" w:hanging="0"/>
        <w:jc w:val="both"/>
        <w:rPr/>
      </w:pPr>
      <w:r>
        <w:rPr>
          <w:rFonts w:cs="Arial" w:ascii="Arial" w:hAnsi="Arial"/>
          <w:color w:val="000000"/>
          <w:sz w:val="21"/>
          <w:szCs w:val="21"/>
        </w:rPr>
        <w:t>agents. Except for the warranties mentioned above, GENFOCUS excludes and disclaims</w:t>
      </w:r>
    </w:p>
    <w:p>
      <w:pPr>
        <w:pStyle w:val="Normal"/>
        <w:widowControl w:val="false"/>
        <w:snapToGrid w:val="false"/>
        <w:spacing w:lineRule="auto" w:line="240" w:before="0" w:after="100"/>
        <w:ind w:left="720" w:hanging="0"/>
        <w:jc w:val="both"/>
        <w:rPr/>
      </w:pPr>
      <w:r>
        <w:rPr>
          <w:rFonts w:cs="Arial" w:ascii="Arial" w:hAnsi="Arial"/>
          <w:color w:val="000000"/>
          <w:sz w:val="21"/>
          <w:szCs w:val="21"/>
        </w:rPr>
        <w:t>all conditions, warranties, statements, whether express, implied or statutory.</w:t>
      </w:r>
    </w:p>
    <w:p>
      <w:pPr>
        <w:pStyle w:val="Normal"/>
        <w:widowControl w:val="false"/>
        <w:snapToGrid w:val="false"/>
        <w:spacing w:lineRule="auto" w:line="240" w:before="0" w:after="100"/>
        <w:ind w:left="-426" w:firstLine="284"/>
        <w:rPr/>
      </w:pPr>
      <w:r>
        <w:rPr>
          <w:rFonts w:cs="Arial" w:ascii="Arial" w:hAnsi="Arial"/>
          <w:color w:val="000000"/>
          <w:sz w:val="21"/>
          <w:szCs w:val="21"/>
        </w:rPr>
        <w:t xml:space="preserve">               </w:t>
      </w:r>
      <w:r>
        <w:rPr>
          <w:rFonts w:cs="Arial" w:ascii="Arial" w:hAnsi="Arial"/>
          <w:color w:val="000000"/>
          <w:sz w:val="21"/>
          <w:szCs w:val="21"/>
        </w:rPr>
        <w:t>This warranty however does not cover glass, rubber components and load cell used</w:t>
      </w:r>
    </w:p>
    <w:p>
      <w:pPr>
        <w:pStyle w:val="Normal"/>
        <w:widowControl w:val="false"/>
        <w:snapToGrid w:val="false"/>
        <w:spacing w:lineRule="auto" w:line="240" w:before="0" w:after="100"/>
        <w:ind w:left="-426" w:firstLine="284"/>
        <w:rPr/>
      </w:pPr>
      <w:r>
        <w:rPr>
          <w:rFonts w:cs="Arial" w:ascii="Arial" w:hAnsi="Arial"/>
          <w:color w:val="000000"/>
          <w:sz w:val="21"/>
          <w:szCs w:val="21"/>
        </w:rPr>
        <w:t xml:space="preserve">                </w:t>
      </w:r>
      <w:r>
        <w:rPr>
          <w:rFonts w:cs="Arial" w:ascii="Arial" w:hAnsi="Arial"/>
          <w:color w:val="000000"/>
          <w:sz w:val="21"/>
          <w:szCs w:val="21"/>
        </w:rPr>
        <w:t>in the various equipments. This warranty also does not cover defects arising out of</w:t>
      </w:r>
    </w:p>
    <w:p>
      <w:pPr>
        <w:pStyle w:val="Normal"/>
        <w:widowControl w:val="false"/>
        <w:snapToGrid w:val="false"/>
        <w:spacing w:lineRule="auto" w:line="240" w:before="0" w:after="100"/>
        <w:ind w:left="-426" w:firstLine="284"/>
        <w:rPr/>
      </w:pPr>
      <w:r>
        <w:rPr>
          <w:rFonts w:cs="Arial" w:ascii="Arial" w:hAnsi="Arial"/>
          <w:color w:val="000000"/>
          <w:sz w:val="21"/>
          <w:szCs w:val="21"/>
        </w:rPr>
        <w:t xml:space="preserve">                </w:t>
      </w:r>
      <w:r>
        <w:rPr>
          <w:rFonts w:cs="Arial" w:ascii="Arial" w:hAnsi="Arial"/>
          <w:color w:val="000000"/>
          <w:sz w:val="21"/>
          <w:szCs w:val="21"/>
        </w:rPr>
        <w:t>willful damage/operator error/negligence, power line related defect, damages by</w:t>
      </w:r>
    </w:p>
    <w:p>
      <w:pPr>
        <w:pStyle w:val="Normal"/>
        <w:widowControl w:val="false"/>
        <w:snapToGrid w:val="false"/>
        <w:spacing w:lineRule="auto" w:line="240" w:before="0" w:after="100"/>
        <w:ind w:left="-426" w:firstLine="284"/>
        <w:rPr/>
      </w:pPr>
      <w:r>
        <w:rPr>
          <w:rFonts w:cs="Arial" w:ascii="Arial" w:hAnsi="Arial"/>
          <w:color w:val="000000"/>
          <w:sz w:val="21"/>
          <w:szCs w:val="21"/>
        </w:rPr>
        <w:t xml:space="preserve">                 </w:t>
      </w:r>
      <w:r>
        <w:rPr>
          <w:rFonts w:cs="Arial" w:ascii="Arial" w:hAnsi="Arial"/>
          <w:color w:val="000000"/>
          <w:sz w:val="21"/>
          <w:szCs w:val="21"/>
        </w:rPr>
        <w:t>rats/rodents etc. Such repairs will be on a chargeable basis. The following cases will</w:t>
      </w:r>
    </w:p>
    <w:p>
      <w:pPr>
        <w:pStyle w:val="Normal"/>
        <w:widowControl w:val="false"/>
        <w:snapToGrid w:val="false"/>
        <w:spacing w:lineRule="auto" w:line="240" w:before="0" w:after="100"/>
        <w:ind w:left="-426" w:firstLine="284"/>
        <w:rPr>
          <w:rFonts w:ascii="Arial" w:hAnsi="Arial" w:cs="Arial"/>
          <w:color w:val="000000"/>
          <w:sz w:val="21"/>
          <w:szCs w:val="21"/>
        </w:rPr>
      </w:pPr>
      <w:r>
        <w:rPr>
          <w:rFonts w:cs="Arial" w:ascii="Arial" w:hAnsi="Arial"/>
          <w:color w:val="000000"/>
          <w:sz w:val="21"/>
          <w:szCs w:val="21"/>
        </w:rPr>
        <w:t xml:space="preserve">                  </w:t>
      </w:r>
      <w:r>
        <w:rPr>
          <w:rFonts w:cs="Arial" w:ascii="Arial" w:hAnsi="Arial"/>
          <w:color w:val="000000"/>
          <w:sz w:val="21"/>
          <w:szCs w:val="21"/>
        </w:rPr>
        <w:t>not be covered under the warranty clause and repair/replacement of these will be on chargeable basis</w:t>
      </w:r>
    </w:p>
    <w:p>
      <w:pPr>
        <w:pStyle w:val="Normal"/>
        <w:widowControl w:val="false"/>
        <w:snapToGrid w:val="false"/>
        <w:spacing w:lineRule="auto" w:line="240"/>
        <w:ind w:left="-426" w:firstLine="284"/>
        <w:rPr/>
      </w:pPr>
      <w:r>
        <w:rPr>
          <w:rFonts w:cs="Arial" w:ascii="Arial" w:hAnsi="Arial"/>
          <w:color w:val="000000"/>
          <w:sz w:val="21"/>
          <w:szCs w:val="21"/>
        </w:rPr>
        <w:t xml:space="preserve">             </w:t>
      </w:r>
      <w:r>
        <w:rPr>
          <w:rFonts w:cs="Arial" w:ascii="Arial" w:hAnsi="Arial"/>
          <w:color w:val="000000"/>
          <w:sz w:val="21"/>
          <w:szCs w:val="21"/>
        </w:rPr>
        <w:tab/>
        <w:tab/>
        <w:tab/>
        <w:tab/>
        <w:tab/>
        <w:tab/>
      </w:r>
      <w:r>
        <w:rPr/>
        <w:t xml:space="preserve"> </w:t>
      </w:r>
      <w:r>
        <w:rPr/>
        <w:drawing>
          <wp:inline distT="0" distB="0" distL="19050" distR="0">
            <wp:extent cx="1181100" cy="1485900"/>
            <wp:effectExtent l="0" t="0" r="0" b="0"/>
            <wp:docPr id="4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left="2880" w:firstLine="720"/>
        <w:rPr>
          <w:rFonts w:ascii="Verdana" w:hAnsi="Verdana" w:cs="Verdana"/>
          <w:b/>
          <w:b/>
          <w:bCs/>
          <w:sz w:val="19"/>
          <w:szCs w:val="19"/>
        </w:rPr>
      </w:pPr>
      <w:r>
        <w:rPr>
          <w:rFonts w:cs="Verdana" w:ascii="Verdana" w:hAnsi="Verdana"/>
          <w:b/>
          <w:bCs/>
          <w:sz w:val="19"/>
          <w:szCs w:val="19"/>
        </w:rPr>
      </w:r>
    </w:p>
    <w:p>
      <w:pPr>
        <w:pStyle w:val="Normal"/>
        <w:spacing w:lineRule="auto" w:line="240" w:before="0" w:after="0"/>
        <w:ind w:left="1440" w:hanging="0"/>
        <w:rPr>
          <w:rFonts w:ascii="Verdana" w:hAnsi="Verdana" w:cs="Verdana"/>
          <w:b/>
          <w:b/>
          <w:bCs/>
          <w:sz w:val="19"/>
          <w:szCs w:val="19"/>
        </w:rPr>
      </w:pPr>
      <w:r>
        <w:rPr>
          <w:rFonts w:cs="Verdana" w:ascii="Verdana" w:hAnsi="Verdana"/>
          <w:b/>
          <w:bCs/>
          <w:sz w:val="19"/>
          <w:szCs w:val="19"/>
        </w:rPr>
      </w:r>
    </w:p>
    <w:p>
      <w:pPr>
        <w:pStyle w:val="Normal"/>
        <w:spacing w:lineRule="auto" w:line="240" w:before="0" w:after="0"/>
        <w:rPr/>
      </w:pPr>
      <w:r>
        <w:rPr/>
      </w:r>
    </w:p>
    <w:sectPr>
      <w:headerReference w:type="default" r:id="rId6"/>
      <w:type w:val="nextPage"/>
      <w:pgSz w:w="12240" w:h="15840"/>
      <w:pgMar w:left="851" w:right="474" w:header="142" w:top="1649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roman"/>
    <w:pitch w:val="variable"/>
  </w:font>
  <w:font w:name="Arial">
    <w:charset w:val="01"/>
    <w:family w:val="roman"/>
    <w:pitch w:val="variable"/>
  </w:font>
  <w:font w:name="Arial Bold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ind w:left="-567" w:hanging="0"/>
      <w:rPr/>
    </w:pPr>
    <w:r>
      <w:rPr/>
      <w:t xml:space="preserve">                   </w:t>
    </w:r>
    <w:r>
      <w:rPr/>
      <w:drawing>
        <wp:inline distT="0" distB="0" distL="19050" distR="9525">
          <wp:extent cx="5972175" cy="428625"/>
          <wp:effectExtent l="0" t="0" r="0" b="0"/>
          <wp:docPr id="5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72175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Normal Table" w:qFormat="1"/>
    <w:lsdException w:name="Table Grid" w:uiPriority="59" w:semiHidden="0" w:unhideWhenUsed="0"/>
    <w:lsdException w:name="Placeholder Text" w:unhideWhenUsed="0"/>
    <w:lsdException w:name="No Spacing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semiHidden="0" w:unhideWhenUsed="0"/>
    <w:lsdException w:name="Intense Quote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94c9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4032c"/>
    <w:rPr>
      <w:rFonts w:ascii="Segoe UI" w:hAnsi="Segoe UI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b00b9"/>
    <w:rPr>
      <w:sz w:val="22"/>
      <w:szCs w:val="22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b00b9"/>
    <w:rPr>
      <w:sz w:val="22"/>
      <w:szCs w:val="22"/>
    </w:rPr>
  </w:style>
  <w:style w:type="character" w:styleId="ListLabel1">
    <w:name w:val="ListLabel 1"/>
    <w:qFormat/>
    <w:rPr>
      <w:rFonts w:cs="Times New Roman"/>
    </w:rPr>
  </w:style>
  <w:style w:type="character" w:styleId="ListLabel2">
    <w:name w:val="ListLabel 2"/>
    <w:qFormat/>
    <w:rPr>
      <w:rFonts w:cs="Times New Roman"/>
    </w:rPr>
  </w:style>
  <w:style w:type="character" w:styleId="ListLabel3">
    <w:name w:val="ListLabel 3"/>
    <w:qFormat/>
    <w:rPr>
      <w:rFonts w:cs="Times New Roman"/>
    </w:rPr>
  </w:style>
  <w:style w:type="character" w:styleId="ListLabel4">
    <w:name w:val="ListLabel 4"/>
    <w:qFormat/>
    <w:rPr>
      <w:rFonts w:cs="Times New Roman"/>
    </w:rPr>
  </w:style>
  <w:style w:type="character" w:styleId="ListLabel5">
    <w:name w:val="ListLabel 5"/>
    <w:qFormat/>
    <w:rPr>
      <w:rFonts w:cs="Times New Roman"/>
    </w:rPr>
  </w:style>
  <w:style w:type="character" w:styleId="ListLabel6">
    <w:name w:val="ListLabel 6"/>
    <w:qFormat/>
    <w:rPr>
      <w:rFonts w:cs="Times New Roman"/>
    </w:rPr>
  </w:style>
  <w:style w:type="character" w:styleId="ListLabel7">
    <w:name w:val="ListLabel 7"/>
    <w:qFormat/>
    <w:rPr>
      <w:rFonts w:cs="Times New Roman"/>
    </w:rPr>
  </w:style>
  <w:style w:type="character" w:styleId="ListLabel8">
    <w:name w:val="ListLabel 8"/>
    <w:qFormat/>
    <w:rPr>
      <w:rFonts w:cs="Times New Roman"/>
    </w:rPr>
  </w:style>
  <w:style w:type="character" w:styleId="ListLabel9">
    <w:name w:val="ListLabel 9"/>
    <w:qFormat/>
    <w:rPr>
      <w:rFonts w:cs="Times New Roma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c94c9d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4032c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b00b9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b00b9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c94c9d"/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header" Target="head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5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Application>LibreOffice/5.1.6.2$Linux_x86 LibreOffice_project/10m0$Build-2</Application>
  <Pages>2</Pages>
  <Words>251</Words>
  <Characters>1410</Characters>
  <CharactersWithSpaces>1924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2017-10-31T12:49:00Z</dcterms:created>
  <dc:creator>SHYJAN</dc:creator>
  <dc:description/>
  <dc:language>en-IN</dc:language>
  <cp:lastModifiedBy/>
  <cp:lastPrinted>2025-06-02T10:26:00Z</cp:lastPrinted>
  <dcterms:modified xsi:type="dcterms:W3CDTF">2026-02-25T13:59:51Z</dcterms:modified>
  <cp:revision>185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ICV">
    <vt:lpwstr>F7EB1355B5E3450CB1874AD78D301254</vt:lpwstr>
  </property>
  <property fmtid="{D5CDD505-2E9C-101B-9397-08002B2CF9AE}" pid="6" name="KSOProductBuildVer">
    <vt:lpwstr>1033-11.2.0.11341</vt:lpwstr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