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Aptos Display" w:hAnsi="Aptos Display"/>
          <w:b/>
          <w:color w:val="17324D"/>
          <w:sz w:val="46"/>
        </w:rPr>
        <w:t>ANCHOR GYM SYSTEM</w:t>
      </w:r>
    </w:p>
    <w:p>
      <w:pPr>
        <w:spacing w:after="40"/>
        <w:jc w:val="center"/>
      </w:pPr>
      <w:r>
        <w:rPr>
          <w:b/>
          <w:color w:val="138A8A"/>
          <w:sz w:val="28"/>
        </w:rPr>
        <w:t>PROJECT PROGRESS REPORT</w:t>
      </w:r>
    </w:p>
    <w:p>
      <w:pPr>
        <w:spacing w:after="200"/>
        <w:jc w:val="center"/>
      </w:pPr>
      <w:r>
        <w:rPr>
          <w:color w:val="5B6770"/>
          <w:sz w:val="19"/>
        </w:rPr>
        <w:t>Reporting date: October 13, 2026</w:t>
      </w:r>
    </w:p>
    <w:p>
      <w:pPr>
        <w:spacing w:before="40" w:after="20"/>
        <w:jc w:val="center"/>
      </w:pPr>
      <w:r>
        <w:drawing>
          <wp:inline xmlns:a="http://schemas.openxmlformats.org/drawingml/2006/main" xmlns:pic="http://schemas.openxmlformats.org/drawingml/2006/picture">
            <wp:extent cx="6126480" cy="2042160"/>
            <wp:docPr id="1" name="Picture 1" descr="Illustrative photograph of gym training equipment and workout area." title="Gym training area"/>
            <wp:cNvGraphicFramePr>
              <a:graphicFrameLocks noChangeAspect="1"/>
            </wp:cNvGraphicFramePr>
            <a:graphic>
              <a:graphicData uri="http://schemas.openxmlformats.org/drawingml/2006/picture">
                <pic:pic>
                  <pic:nvPicPr>
                    <pic:cNvPr id="0" name="anchor-gym-report-banner.jpg"/>
                    <pic:cNvPicPr/>
                  </pic:nvPicPr>
                  <pic:blipFill>
                    <a:blip r:embed="rId11"/>
                    <a:stretch>
                      <a:fillRect/>
                    </a:stretch>
                  </pic:blipFill>
                  <pic:spPr>
                    <a:xfrm>
                      <a:off x="0" y="0"/>
                      <a:ext cx="6126480" cy="2042160"/>
                    </a:xfrm>
                    <a:prstGeom prst="rect"/>
                  </pic:spPr>
                </pic:pic>
              </a:graphicData>
            </a:graphic>
          </wp:inline>
        </w:drawing>
      </w:r>
    </w:p>
    <w:p>
      <w:pPr>
        <w:spacing w:after="100"/>
        <w:jc w:val="center"/>
      </w:pPr>
      <w:r>
        <w:rPr>
          <w:i/>
          <w:color w:val="5B6770"/>
          <w:sz w:val="16"/>
        </w:rPr>
        <w:t>Illustrative gym photograph</w:t>
      </w:r>
    </w:p>
    <w:tbl>
      <w:tblPr>
        <w:tblW w:type="auto" w:w="0"/>
        <w:jc w:val="center"/>
        <w:tblLayout w:type="fixed"/>
        <w:tblLook w:firstColumn="1" w:firstRow="1" w:lastColumn="0" w:lastRow="0" w:noHBand="0" w:noVBand="1" w:val="04A0"/>
      </w:tblPr>
      <w:tblGrid>
        <w:gridCol w:w="2016"/>
        <w:gridCol w:w="8352"/>
      </w:tblGrid>
      <w:tr>
        <w:tc>
          <w:tcPr>
            <w:tcW w:type="dxa" w:w="2016"/>
            <w:vAlign w:val="center"/>
            <w:shd w:fill="EAF2F5"/>
            <w:tcMar>
              <w:top w:w="90" w:type="dxa"/>
              <w:start w:w="90" w:type="dxa"/>
              <w:bottom w:w="90" w:type="dxa"/>
              <w:end w:w="90" w:type="dxa"/>
            </w:tcMar>
          </w:tcPr>
          <w:p>
            <w:pPr>
              <w:spacing w:after="20" w:before="20"/>
            </w:pPr>
            <w:r>
              <w:rPr>
                <w:b/>
                <w:color w:val="138A8A"/>
                <w:sz w:val="18"/>
              </w:rPr>
              <w:t>PROJECT LEADER</w:t>
            </w:r>
          </w:p>
        </w:tc>
        <w:tc>
          <w:tcPr>
            <w:tcW w:type="dxa" w:w="8352"/>
            <w:vAlign w:val="center"/>
            <w:shd w:fill="EAF2F5"/>
            <w:tcMar>
              <w:top w:w="90" w:type="dxa"/>
              <w:start w:w="90" w:type="dxa"/>
              <w:bottom w:w="90" w:type="dxa"/>
              <w:end w:w="90" w:type="dxa"/>
            </w:tcMar>
          </w:tcPr>
          <w:p>
            <w:pPr>
              <w:spacing w:after="20" w:before="20"/>
            </w:pPr>
            <w:r>
              <w:rPr>
                <w:sz w:val="18"/>
              </w:rPr>
              <w:t>Denmark Balane</w:t>
            </w:r>
          </w:p>
        </w:tc>
      </w:tr>
      <w:tr>
        <w:tc>
          <w:tcPr>
            <w:tcW w:type="dxa" w:w="2016"/>
            <w:vAlign w:val="center"/>
            <w:shd w:fill="EAF2F5"/>
            <w:tcMar>
              <w:top w:w="90" w:type="dxa"/>
              <w:start w:w="90" w:type="dxa"/>
              <w:bottom w:w="90" w:type="dxa"/>
              <w:end w:w="90" w:type="dxa"/>
            </w:tcMar>
          </w:tcPr>
          <w:p>
            <w:pPr>
              <w:spacing w:after="20" w:before="20"/>
            </w:pPr>
            <w:r>
              <w:rPr>
                <w:b/>
                <w:color w:val="138A8A"/>
                <w:sz w:val="18"/>
              </w:rPr>
              <w:t>TEAM MEMBERS</w:t>
            </w:r>
          </w:p>
        </w:tc>
        <w:tc>
          <w:tcPr>
            <w:tcW w:type="dxa" w:w="8352"/>
            <w:vAlign w:val="center"/>
            <w:shd w:fill="EAF2F5"/>
            <w:tcMar>
              <w:top w:w="90" w:type="dxa"/>
              <w:start w:w="90" w:type="dxa"/>
              <w:bottom w:w="90" w:type="dxa"/>
              <w:end w:w="90" w:type="dxa"/>
            </w:tcMar>
          </w:tcPr>
          <w:p>
            <w:pPr>
              <w:spacing w:after="20" w:before="20"/>
            </w:pPr>
            <w:r>
              <w:rPr>
                <w:sz w:val="18"/>
              </w:rPr>
              <w:t>Alexandrei Raymundo; John Delfin Anasco</w:t>
            </w:r>
          </w:p>
        </w:tc>
      </w:tr>
    </w:tbl>
    <w:p>
      <w:pPr>
        <w:spacing w:before="140" w:after="100"/>
      </w:pPr>
      <w:r>
        <w:rPr>
          <w:b/>
        </w:rPr>
        <w:t xml:space="preserve">Reporting basis. </w:t>
      </w:r>
      <w:r>
        <w:t>The requested reporting date is October 13, 2026. The implementation status in this report was reviewed against the current project repository, which includes commits dated October 16?17, 2026. Accordingly, the report does not represent a verified historical snapshot of the system as it stood on October 13.</w:t>
      </w:r>
    </w:p>
    <w:p>
      <w:pPr>
        <w:pStyle w:val="Heading1"/>
      </w:pPr>
      <w:r>
        <w:t>1. Executive Summary</w:t>
      </w:r>
    </w:p>
    <w:p>
      <w:r>
        <w:t>ANCHOR Gym System is a web-based application intended to support gym membership administration and day-to-day facility operations. The current implementation provides separate member and administrator experiences, supported by an Express.js API and PostgreSQL data storage. Core workflows are represented in the application, and the focused automated test suite and JavaScript syntax checks passed during this review. Additional staging and operational verification are recommended before the system is considered production-ready.</w:t>
      </w:r>
    </w:p>
    <w:p>
      <w:pPr>
        <w:pStyle w:val="Heading1"/>
      </w:pPr>
      <w:r>
        <w:t>2. Progress by Workstream</w:t>
      </w:r>
    </w:p>
    <w:tbl>
      <w:tblPr>
        <w:tblW w:type="auto" w:w="0"/>
        <w:jc w:val="center"/>
        <w:tblLayout w:type="fixed"/>
        <w:tblLook w:firstColumn="1" w:firstRow="1" w:lastColumn="0" w:lastRow="0" w:noHBand="0" w:noVBand="1" w:val="04A0"/>
      </w:tblPr>
      <w:tblGrid>
        <w:gridCol w:w="2088"/>
        <w:gridCol w:w="6840"/>
        <w:gridCol w:w="1440"/>
      </w:tblGrid>
      <w:tr>
        <w:tc>
          <w:tcPr>
            <w:tcW w:type="dxa" w:w="3389"/>
            <w:vAlign w:val="center"/>
            <w:shd w:fill="17324D"/>
          </w:tcPr>
          <w:p>
            <w:pPr>
              <w:spacing w:after="20" w:before="20"/>
            </w:pPr>
            <w:r>
              <w:rPr>
                <w:rFonts w:ascii="Aptos" w:hAnsi="Aptos"/>
                <w:b/>
                <w:color w:val="FFFFFF"/>
                <w:sz w:val="17"/>
              </w:rPr>
              <w:t>Workstream</w:t>
            </w:r>
          </w:p>
        </w:tc>
        <w:tc>
          <w:tcPr>
            <w:tcW w:type="dxa" w:w="3389"/>
            <w:vAlign w:val="center"/>
            <w:shd w:fill="17324D"/>
          </w:tcPr>
          <w:p>
            <w:pPr>
              <w:spacing w:after="20" w:before="20"/>
            </w:pPr>
            <w:r>
              <w:rPr>
                <w:rFonts w:ascii="Aptos" w:hAnsi="Aptos"/>
                <w:b/>
                <w:color w:val="FFFFFF"/>
                <w:sz w:val="17"/>
              </w:rPr>
              <w:t>Progress recorded in the reviewed codebase</w:t>
            </w:r>
          </w:p>
        </w:tc>
        <w:tc>
          <w:tcPr>
            <w:tcW w:type="dxa" w:w="3389"/>
            <w:vAlign w:val="center"/>
            <w:shd w:fill="17324D"/>
          </w:tcPr>
          <w:p>
            <w:pPr>
              <w:spacing w:after="20" w:before="20"/>
            </w:pPr>
            <w:r>
              <w:rPr>
                <w:rFonts w:ascii="Aptos" w:hAnsi="Aptos"/>
                <w:b/>
                <w:color w:val="FFFFFF"/>
                <w:sz w:val="17"/>
              </w:rPr>
              <w:t>Status</w:t>
            </w:r>
          </w:p>
        </w:tc>
      </w:tr>
      <w:tr>
        <w:tc>
          <w:tcPr>
            <w:tcW w:type="dxa" w:w="2088"/>
            <w:vAlign w:val="center"/>
            <w:shd w:fill="F3F7F9"/>
          </w:tcPr>
          <w:p>
            <w:pPr>
              <w:spacing w:after="20" w:before="20"/>
            </w:pPr>
            <w:r>
              <w:rPr>
                <w:rFonts w:ascii="Aptos" w:hAnsi="Aptos"/>
                <w:b/>
                <w:color w:val="17324D"/>
                <w:sz w:val="16"/>
              </w:rPr>
              <w:t>Accounts and access</w:t>
            </w:r>
          </w:p>
        </w:tc>
        <w:tc>
          <w:tcPr>
            <w:tcW w:type="dxa" w:w="6840"/>
            <w:vAlign w:val="center"/>
            <w:shd w:fill="F3F7F9"/>
          </w:tcPr>
          <w:p>
            <w:pPr>
              <w:spacing w:after="20" w:before="20"/>
            </w:pPr>
            <w:r>
              <w:rPr>
                <w:rFonts w:ascii="Aptos" w:hAnsi="Aptos"/>
                <w:b w:val="0"/>
                <w:sz w:val="16"/>
              </w:rPr>
              <w:t>Member registration, sign-in, verification and password-reset routes, Google sign-in flow, profile maintenance, and password updates.</w:t>
            </w:r>
          </w:p>
        </w:tc>
        <w:tc>
          <w:tcPr>
            <w:tcW w:type="dxa" w:w="1440"/>
            <w:vAlign w:val="center"/>
            <w:shd w:fill="F3F7F9"/>
          </w:tcPr>
          <w:p>
            <w:pPr>
              <w:spacing w:after="20" w:before="20"/>
              <w:jc w:val="center"/>
            </w:pPr>
            <w:r>
              <w:rPr>
                <w:rFonts w:ascii="Aptos" w:hAnsi="Aptos"/>
                <w:b w:val="0"/>
                <w:sz w:val="16"/>
              </w:rPr>
              <w:t>Implemented</w:t>
            </w:r>
          </w:p>
        </w:tc>
      </w:tr>
      <w:tr>
        <w:tc>
          <w:tcPr>
            <w:tcW w:type="dxa" w:w="2088"/>
            <w:vAlign w:val="center"/>
          </w:tcPr>
          <w:p>
            <w:pPr>
              <w:spacing w:after="20" w:before="20"/>
            </w:pPr>
            <w:r>
              <w:rPr>
                <w:rFonts w:ascii="Aptos" w:hAnsi="Aptos"/>
                <w:b/>
                <w:color w:val="17324D"/>
                <w:sz w:val="16"/>
              </w:rPr>
              <w:t>Membership administration</w:t>
            </w:r>
          </w:p>
        </w:tc>
        <w:tc>
          <w:tcPr>
            <w:tcW w:type="dxa" w:w="6840"/>
            <w:vAlign w:val="center"/>
          </w:tcPr>
          <w:p>
            <w:pPr>
              <w:spacing w:after="20" w:before="20"/>
            </w:pPr>
            <w:r>
              <w:rPr>
                <w:rFonts w:ascii="Aptos" w:hAnsi="Aptos"/>
                <w:b w:val="0"/>
                <w:sz w:val="16"/>
              </w:rPr>
              <w:t>Membership application and renewal submission, payment-proof review, staff approval or rejection, and member archive, restore, or revocation actions.</w:t>
            </w:r>
          </w:p>
        </w:tc>
        <w:tc>
          <w:tcPr>
            <w:tcW w:type="dxa" w:w="1440"/>
            <w:vAlign w:val="center"/>
          </w:tcPr>
          <w:p>
            <w:pPr>
              <w:spacing w:after="20" w:before="20"/>
              <w:jc w:val="center"/>
            </w:pPr>
            <w:r>
              <w:rPr>
                <w:rFonts w:ascii="Aptos" w:hAnsi="Aptos"/>
                <w:b w:val="0"/>
                <w:sz w:val="16"/>
              </w:rPr>
              <w:t>Implemented</w:t>
            </w:r>
          </w:p>
        </w:tc>
      </w:tr>
      <w:tr>
        <w:tc>
          <w:tcPr>
            <w:tcW w:type="dxa" w:w="2088"/>
            <w:vAlign w:val="center"/>
            <w:shd w:fill="F3F7F9"/>
          </w:tcPr>
          <w:p>
            <w:pPr>
              <w:spacing w:after="20" w:before="20"/>
            </w:pPr>
            <w:r>
              <w:rPr>
                <w:rFonts w:ascii="Aptos" w:hAnsi="Aptos"/>
                <w:b/>
                <w:color w:val="17324D"/>
                <w:sz w:val="16"/>
              </w:rPr>
              <w:t>Attendance and access</w:t>
            </w:r>
          </w:p>
        </w:tc>
        <w:tc>
          <w:tcPr>
            <w:tcW w:type="dxa" w:w="6840"/>
            <w:vAlign w:val="center"/>
            <w:shd w:fill="F3F7F9"/>
          </w:tcPr>
          <w:p>
            <w:pPr>
              <w:spacing w:after="20" w:before="20"/>
            </w:pPr>
            <w:r>
              <w:rPr>
                <w:rFonts w:ascii="Aptos" w:hAnsi="Aptos"/>
                <w:b w:val="0"/>
                <w:sz w:val="16"/>
              </w:rPr>
              <w:t>Member QR access, administrative QR scanning, manual attendance entry, visit checkout and extensions, and member attendance history.</w:t>
            </w:r>
          </w:p>
        </w:tc>
        <w:tc>
          <w:tcPr>
            <w:tcW w:type="dxa" w:w="1440"/>
            <w:vAlign w:val="center"/>
            <w:shd w:fill="F3F7F9"/>
          </w:tcPr>
          <w:p>
            <w:pPr>
              <w:spacing w:after="20" w:before="20"/>
              <w:jc w:val="center"/>
            </w:pPr>
            <w:r>
              <w:rPr>
                <w:rFonts w:ascii="Aptos" w:hAnsi="Aptos"/>
                <w:b w:val="0"/>
                <w:sz w:val="16"/>
              </w:rPr>
              <w:t>Implemented</w:t>
            </w:r>
          </w:p>
        </w:tc>
      </w:tr>
      <w:tr>
        <w:tc>
          <w:tcPr>
            <w:tcW w:type="dxa" w:w="2088"/>
            <w:vAlign w:val="center"/>
          </w:tcPr>
          <w:p>
            <w:pPr>
              <w:spacing w:after="20" w:before="20"/>
            </w:pPr>
            <w:r>
              <w:rPr>
                <w:rFonts w:ascii="Aptos" w:hAnsi="Aptos"/>
                <w:b/>
                <w:color w:val="17324D"/>
                <w:sz w:val="16"/>
              </w:rPr>
              <w:t>Guest operations</w:t>
            </w:r>
          </w:p>
        </w:tc>
        <w:tc>
          <w:tcPr>
            <w:tcW w:type="dxa" w:w="6840"/>
            <w:vAlign w:val="center"/>
          </w:tcPr>
          <w:p>
            <w:pPr>
              <w:spacing w:after="20" w:before="20"/>
            </w:pPr>
            <w:r>
              <w:rPr>
                <w:rFonts w:ascii="Aptos" w:hAnsi="Aptos"/>
                <w:b w:val="0"/>
                <w:sz w:val="16"/>
              </w:rPr>
              <w:t>Guest visit recording and related front-desk attendance and payment workflows.</w:t>
            </w:r>
          </w:p>
        </w:tc>
        <w:tc>
          <w:tcPr>
            <w:tcW w:type="dxa" w:w="1440"/>
            <w:vAlign w:val="center"/>
          </w:tcPr>
          <w:p>
            <w:pPr>
              <w:spacing w:after="20" w:before="20"/>
              <w:jc w:val="center"/>
            </w:pPr>
            <w:r>
              <w:rPr>
                <w:rFonts w:ascii="Aptos" w:hAnsi="Aptos"/>
                <w:b w:val="0"/>
                <w:sz w:val="16"/>
              </w:rPr>
              <w:t>Implemented</w:t>
            </w:r>
          </w:p>
        </w:tc>
      </w:tr>
      <w:tr>
        <w:tc>
          <w:tcPr>
            <w:tcW w:type="dxa" w:w="2088"/>
            <w:vAlign w:val="center"/>
            <w:shd w:fill="F3F7F9"/>
          </w:tcPr>
          <w:p>
            <w:pPr>
              <w:spacing w:after="20" w:before="20"/>
            </w:pPr>
            <w:r>
              <w:rPr>
                <w:rFonts w:ascii="Aptos" w:hAnsi="Aptos"/>
                <w:b/>
                <w:color w:val="17324D"/>
                <w:sz w:val="16"/>
              </w:rPr>
              <w:t>Administration and reporting</w:t>
            </w:r>
          </w:p>
        </w:tc>
        <w:tc>
          <w:tcPr>
            <w:tcW w:type="dxa" w:w="6840"/>
            <w:vAlign w:val="center"/>
            <w:shd w:fill="F3F7F9"/>
          </w:tcPr>
          <w:p>
            <w:pPr>
              <w:spacing w:after="20" w:before="20"/>
            </w:pPr>
            <w:r>
              <w:rPr>
                <w:rFonts w:ascii="Aptos" w:hAnsi="Aptos"/>
                <w:b w:val="0"/>
                <w:sz w:val="16"/>
              </w:rPr>
              <w:t>Administrative dashboard data, member and transaction views, attendance reports, and equipment-demand information.</w:t>
            </w:r>
          </w:p>
        </w:tc>
        <w:tc>
          <w:tcPr>
            <w:tcW w:type="dxa" w:w="1440"/>
            <w:vAlign w:val="center"/>
            <w:shd w:fill="F3F7F9"/>
          </w:tcPr>
          <w:p>
            <w:pPr>
              <w:spacing w:after="20" w:before="20"/>
              <w:jc w:val="center"/>
            </w:pPr>
            <w:r>
              <w:rPr>
                <w:rFonts w:ascii="Aptos" w:hAnsi="Aptos"/>
                <w:b w:val="0"/>
                <w:sz w:val="16"/>
              </w:rPr>
              <w:t>Implemented</w:t>
            </w:r>
          </w:p>
        </w:tc>
      </w:tr>
      <w:tr>
        <w:tc>
          <w:tcPr>
            <w:tcW w:type="dxa" w:w="2088"/>
            <w:vAlign w:val="center"/>
          </w:tcPr>
          <w:p>
            <w:pPr>
              <w:spacing w:after="20" w:before="20"/>
            </w:pPr>
            <w:r>
              <w:rPr>
                <w:rFonts w:ascii="Aptos" w:hAnsi="Aptos"/>
                <w:b/>
                <w:color w:val="17324D"/>
                <w:sz w:val="16"/>
              </w:rPr>
              <w:t>Application foundation</w:t>
            </w:r>
          </w:p>
        </w:tc>
        <w:tc>
          <w:tcPr>
            <w:tcW w:type="dxa" w:w="6840"/>
            <w:vAlign w:val="center"/>
          </w:tcPr>
          <w:p>
            <w:pPr>
              <w:spacing w:after="20" w:before="20"/>
            </w:pPr>
            <w:r>
              <w:rPr>
                <w:rFonts w:ascii="Aptos" w:hAnsi="Aptos"/>
                <w:b w:val="0"/>
                <w:sz w:val="16"/>
              </w:rPr>
              <w:t>HTML, CSS, and JavaScript portals connected to an Express API with PostgreSQL persistence.</w:t>
            </w:r>
          </w:p>
        </w:tc>
        <w:tc>
          <w:tcPr>
            <w:tcW w:type="dxa" w:w="1440"/>
            <w:vAlign w:val="center"/>
          </w:tcPr>
          <w:p>
            <w:pPr>
              <w:spacing w:after="20" w:before="20"/>
              <w:jc w:val="center"/>
            </w:pPr>
            <w:r>
              <w:rPr>
                <w:rFonts w:ascii="Aptos" w:hAnsi="Aptos"/>
                <w:b w:val="0"/>
                <w:sz w:val="16"/>
              </w:rPr>
              <w:t>In place</w:t>
            </w:r>
          </w:p>
        </w:tc>
      </w:tr>
    </w:tbl>
    <w:p>
      <w:pPr>
        <w:pStyle w:val="Heading1"/>
      </w:pPr>
      <w:r>
        <w:t>3. Verification Completed</w:t>
      </w:r>
    </w:p>
    <w:p>
      <w:r>
        <w:t>The following checks were run against the reviewed repository snapshot:</w:t>
      </w:r>
    </w:p>
    <w:p>
      <w:pPr>
        <w:pStyle w:val="ListBullet"/>
        <w:spacing w:after="40"/>
      </w:pPr>
      <w:r>
        <w:t>Automated test suite: 15 tests passed and 0 failed. The tests cover selected authentication, membership, QR access, attendance, guest, transaction, reporting, and administrative interface behaviors.</w:t>
      </w:r>
    </w:p>
    <w:p>
      <w:pPr>
        <w:pStyle w:val="ListBullet"/>
        <w:spacing w:after="40"/>
      </w:pPr>
      <w:r>
        <w:t>JavaScript syntax validation: passed for the backend server, CORS helper, and primary frontend JavaScript modules.</w:t>
      </w:r>
    </w:p>
    <w:p>
      <w:r>
        <w:t>These results confirm that the selected automated checks completed successfully; they do not constitute full browser-based acceptance testing or production-environment certification.</w:t>
      </w:r>
    </w:p>
    <w:p>
      <w:pPr>
        <w:pStyle w:val="Heading1"/>
      </w:pPr>
      <w:r>
        <w:t>4. Outstanding Work and Recommended Actions</w:t>
      </w:r>
    </w:p>
    <w:p>
      <w:pPr>
        <w:pStyle w:val="ListNumber"/>
        <w:spacing w:after="40"/>
      </w:pPr>
      <w:r>
        <w:t>Conduct end-to-end acceptance testing in a staging environment for the complete member and administrator workflows, including responsive layouts and supported browsers.</w:t>
      </w:r>
    </w:p>
    <w:p>
      <w:pPr>
        <w:pStyle w:val="ListNumber"/>
        <w:spacing w:after="40"/>
      </w:pPr>
      <w:r>
        <w:t>Verify production database configuration, environment variables, allowed frontend origins, authentication integrations, and staff payment-verification procedures.</w:t>
      </w:r>
    </w:p>
    <w:p>
      <w:pPr>
        <w:pStyle w:val="ListNumber"/>
        <w:spacing w:after="40"/>
      </w:pPr>
      <w:r>
        <w:t>Test recovery and error scenarios, including expired sessions, duplicate submissions, upload failures, network interruptions, and unavailable database or external services.</w:t>
      </w:r>
    </w:p>
    <w:p>
      <w:pPr>
        <w:pStyle w:val="ListNumber"/>
        <w:spacing w:after="40"/>
      </w:pPr>
      <w:r>
        <w:t>Document operational procedures for database backup and restoration, monitoring, and correction of membership or attendance records.</w:t>
      </w:r>
    </w:p>
    <w:p>
      <w:pPr>
        <w:pStyle w:val="ListNumber"/>
        <w:spacing w:after="40"/>
      </w:pPr>
      <w:r>
        <w:t>Record issues found during acceptance testing, assign owners, and rerun relevant automated checks after remediation.</w:t>
      </w:r>
    </w:p>
    <w:p>
      <w:pPr>
        <w:pStyle w:val="Heading1"/>
      </w:pPr>
      <w:r>
        <w:t>5. Overall Assessment</w:t>
      </w:r>
    </w:p>
    <w:p>
      <w:pPr>
        <w:spacing w:after="80"/>
      </w:pPr>
      <w:r>
        <w:rPr>
          <w:b/>
          <w:color w:val="17324D"/>
        </w:rPr>
        <w:t>Overall status: Core application workflows are implemented; further staging and operational verification is required before release readiness can be confirmed.</w:t>
      </w:r>
    </w:p>
    <w:p>
      <w:r>
        <w:t>The recommended next milestone is a documented staging acceptance review covering registration, membership approval, attendance check-in, guest handling, administrative reporting, and recovery scenarios. No percentage-complete estimate is provided because an approved project schedule and measurable acceptance criteria were not available for this review.</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0"/>
        <w:sz w:val="16"/>
      </w:rPr>
      <w:t>ANCHOR GYM SYSTEM  ?  PROJECT PROGRESS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38A8A"/>
        <w:sz w:val="16"/>
      </w:rPr>
      <w:t>ANCHOR GYM SYSTEM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5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38A8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