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259" w:lineRule="auto"/>
      </w:pPr>
      <w:r>
        <w:rPr>
          <w:rFonts w:ascii="Aptos" w:hAnsi="Aptos"/>
          <w:b/>
          <w:color w:val="087F8C"/>
          <w:sz w:val="28"/>
        </w:rPr>
        <w:t>ANCHOR GYM SYSTEM</w:t>
      </w:r>
    </w:p>
    <w:p>
      <w:pPr>
        <w:spacing w:after="140" w:line="259" w:lineRule="auto"/>
      </w:pPr>
      <w:r>
        <w:rPr>
          <w:rFonts w:ascii="Aptos" w:hAnsi="Aptos"/>
          <w:b/>
          <w:color w:val="123B5D"/>
          <w:sz w:val="60"/>
        </w:rPr>
        <w:t>DATABASE NORMALIZATION</w:t>
      </w:r>
    </w:p>
    <w:p>
      <w:pPr>
        <w:spacing w:after="440" w:line="259" w:lineRule="auto"/>
      </w:pPr>
      <w:r>
        <w:rPr>
          <w:rFonts w:ascii="Aptos" w:hAnsi="Aptos"/>
          <w:b/>
          <w:color w:val="087F8C"/>
          <w:sz w:val="34"/>
        </w:rPr>
        <w:t>UNF → 1NF → 2NF → 3NF</w:t>
      </w:r>
    </w:p>
    <w:p>
      <w:pPr>
        <w:spacing w:after="560" w:line="259" w:lineRule="auto"/>
      </w:pPr>
      <w:r>
        <w:rPr>
          <w:rFonts w:ascii="Aptos" w:hAnsi="Aptos"/>
          <w:b w:val="0"/>
          <w:color w:val="526B80"/>
          <w:sz w:val="28"/>
        </w:rPr>
        <w:t>A schema-grounded normalization assessment and final relation inventory</w:t>
      </w:r>
    </w:p>
    <w:tbl>
      <w:tblPr>
        <w:tblStyle w:val="TableGrid"/>
        <w:tblW w:type="auto" w:w="0"/>
        <w:jc w:val="center"/>
        <w:tblLayout w:type="fixed"/>
        <w:tblLook w:firstColumn="1" w:firstRow="1" w:lastColumn="0" w:lastRow="0" w:noHBand="0" w:noVBand="1" w:val="04A0"/>
      </w:tblPr>
      <w:tblGrid>
        <w:gridCol w:w="7344"/>
        <w:gridCol w:w="7344"/>
      </w:tblGrid>
      <w:tr>
        <w:trPr>
          <w:tblHeader w:val="true"/>
        </w:trPr>
        <w:tc>
          <w:tcPr>
            <w:tcW w:type="dxa" w:w="7632"/>
            <w:shd w:fill="123B5D"/>
            <w:tcMar>
              <w:top w:w="85" w:type="dxa"/>
              <w:start w:w="110" w:type="dxa"/>
              <w:bottom w:w="85" w:type="dxa"/>
              <w:end w:w="110" w:type="dxa"/>
            </w:tcMar>
            <w:vAlign w:val="center"/>
          </w:tcPr>
          <w:p>
            <w:pPr>
              <w:spacing w:after="0"/>
            </w:pPr>
            <w:r/>
            <w:r>
              <w:rPr>
                <w:rFonts w:ascii="Aptos" w:hAnsi="Aptos"/>
                <w:b/>
                <w:color w:val="FFFFFF"/>
                <w:sz w:val="20"/>
              </w:rPr>
              <w:t>DOCUMENT BASIS</w:t>
            </w:r>
          </w:p>
        </w:tc>
        <w:tc>
          <w:tcPr>
            <w:tcW w:type="dxa" w:w="7632"/>
            <w:shd w:fill="123B5D"/>
            <w:tcMar>
              <w:top w:w="85" w:type="dxa"/>
              <w:start w:w="110" w:type="dxa"/>
              <w:bottom w:w="85" w:type="dxa"/>
              <w:end w:w="110" w:type="dxa"/>
            </w:tcMar>
            <w:vAlign w:val="center"/>
          </w:tcPr>
          <w:p>
            <w:pPr>
              <w:spacing w:after="0"/>
            </w:pPr>
            <w:r/>
            <w:r>
              <w:rPr>
                <w:rFonts w:ascii="Aptos" w:hAnsi="Aptos"/>
                <w:b/>
                <w:color w:val="FFFFFF"/>
                <w:sz w:val="20"/>
              </w:rPr>
              <w:t>SCOPE</w:t>
            </w:r>
          </w:p>
        </w:tc>
      </w:tr>
      <w:tr>
        <w:tc>
          <w:tcPr>
            <w:tcW w:type="dxa" w:w="7344"/>
            <w:tcMar>
              <w:top w:w="85" w:type="dxa"/>
              <w:start w:w="110" w:type="dxa"/>
              <w:bottom w:w="85" w:type="dxa"/>
              <w:end w:w="110" w:type="dxa"/>
            </w:tcMar>
            <w:vAlign w:val="center"/>
          </w:tcPr>
          <w:p>
            <w:pPr>
              <w:spacing w:after="0" w:line="240" w:lineRule="auto"/>
            </w:pPr>
            <w:r/>
            <w:r>
              <w:rPr>
                <w:rFonts w:ascii="Aptos" w:hAnsi="Aptos"/>
                <w:b w:val="0"/>
                <w:color w:val="243B53"/>
                <w:sz w:val="20"/>
              </w:rPr>
              <w:t>Project database documentation and backend/server.js application schema/workflows</w:t>
            </w:r>
          </w:p>
        </w:tc>
        <w:tc>
          <w:tcPr>
            <w:tcW w:type="dxa" w:w="7344"/>
            <w:tcMar>
              <w:top w:w="85" w:type="dxa"/>
              <w:start w:w="110" w:type="dxa"/>
              <w:bottom w:w="85" w:type="dxa"/>
              <w:end w:w="110" w:type="dxa"/>
            </w:tcMar>
            <w:vAlign w:val="center"/>
          </w:tcPr>
          <w:p>
            <w:pPr>
              <w:spacing w:after="0" w:line="240" w:lineRule="auto"/>
            </w:pPr>
            <w:r/>
            <w:r>
              <w:rPr>
                <w:rFonts w:ascii="Aptos" w:hAnsi="Aptos"/>
                <w:b w:val="0"/>
                <w:color w:val="243B53"/>
                <w:sz w:val="20"/>
              </w:rPr>
              <w:t>Fourteen current entities; no database modifications</w:t>
            </w:r>
          </w:p>
        </w:tc>
      </w:tr>
    </w:tbl>
    <w:p>
      <w:pPr>
        <w:spacing w:after="320" w:line="259" w:lineRule="auto"/>
      </w:pPr>
    </w:p>
    <w:p>
      <w:pPr>
        <w:spacing w:after="80" w:line="259" w:lineRule="auto"/>
      </w:pPr>
      <w:r>
        <w:rPr>
          <w:rFonts w:ascii="Aptos" w:hAnsi="Aptos"/>
          <w:b/>
          <w:color w:val="123B5D"/>
          <w:sz w:val="24"/>
        </w:rPr>
        <w:t>Evidence limitation</w:t>
      </w:r>
    </w:p>
    <w:p>
      <w:pPr>
        <w:spacing w:after="80" w:line="259" w:lineRule="auto"/>
      </w:pPr>
      <w:r>
        <w:rPr>
          <w:rFonts w:ascii="Aptos" w:hAnsi="Aptos"/>
          <w:b w:val="0"/>
          <w:color w:val="243B53"/>
          <w:sz w:val="21"/>
        </w:rPr>
        <w:t>No live PostgreSQL catalog export or complete base migration is present in the repository. Legacy primary/unique constraints and some exact column modifiers are therefore unverified. PK* and FK† distinguish logical/application identifiers and references from constraints explicitly declared in backend setup.</w:t>
      </w:r>
    </w:p>
    <w:p>
      <w:pPr>
        <w:spacing w:after="60" w:line="259" w:lineRule="auto"/>
      </w:pPr>
      <w:r>
        <w:rPr>
          <w:rFonts w:ascii="Aptos" w:hAnsi="Aptos"/>
          <w:b/>
          <w:color w:val="123B5D"/>
          <w:sz w:val="24"/>
        </w:rPr>
        <w:t>Normalization finding</w:t>
      </w:r>
    </w:p>
    <w:p>
      <w:pPr>
        <w:spacing w:after="80" w:line="259" w:lineRule="auto"/>
      </w:pPr>
      <w:r>
        <w:rPr>
          <w:rFonts w:ascii="Aptos" w:hAnsi="Aptos"/>
          <w:b w:val="0"/>
          <w:color w:val="243B53"/>
          <w:sz w:val="21"/>
        </w:rPr>
        <w:t>The visible schema already separates accounts, applications, memberships, visits, charges, archives, and support records. No partial or transitive dependency is established strongly enough by the available evidence to justify a speculative decomposition. Repeated historical values are treated as snapshots where the workflow supports that interpretation.</w:t>
      </w:r>
    </w:p>
    <w:p>
      <w:pPr>
        <w:pageBreakBefore/>
        <w:spacing w:after="60" w:line="259" w:lineRule="auto"/>
      </w:pPr>
      <w:r>
        <w:rPr>
          <w:rFonts w:ascii="Aptos" w:hAnsi="Aptos"/>
          <w:b/>
          <w:color w:val="123B5D"/>
          <w:sz w:val="48"/>
        </w:rPr>
        <w:t>01  |  UNNORMALIZED FORM (UNF)</w:t>
      </w:r>
    </w:p>
    <w:p>
      <w:pPr>
        <w:spacing w:after="240" w:line="259" w:lineRule="auto"/>
      </w:pPr>
      <w:r>
        <w:rPr>
          <w:rFonts w:ascii="Aptos" w:hAnsi="Aptos"/>
          <w:b w:val="0"/>
          <w:color w:val="526B80"/>
          <w:sz w:val="21"/>
        </w:rPr>
        <w:t>Illustrative source/report layout only — not a table found in the deployed system.</w:t>
      </w:r>
    </w:p>
    <w:p>
      <w:pPr>
        <w:spacing w:after="80" w:line="259" w:lineRule="auto"/>
      </w:pPr>
      <w:r>
        <w:rPr>
          <w:rFonts w:ascii="Aptos" w:hAnsi="Aptos"/>
          <w:b w:val="0"/>
          <w:color w:val="243B53"/>
          <w:sz w:val="20"/>
        </w:rPr>
        <w:t>The following wide record embeds repeatable facts inside braces. One account may submit several applications, hold membership history, check in repeatedly, and incur multiple charges. Combining the lists creates non-atomic repeating groups and makes the association between a specific visit and its charge unclear.</w:t>
      </w:r>
    </w:p>
    <w:tbl>
      <w:tblPr>
        <w:tblStyle w:val="TableGrid"/>
        <w:tblW w:type="auto" w:w="0"/>
        <w:jc w:val="center"/>
        <w:tblLayout w:type="fixed"/>
        <w:tblLook w:firstColumn="1" w:firstRow="1" w:lastColumn="0" w:lastRow="0" w:noHBand="0" w:noVBand="1" w:val="04A0"/>
      </w:tblPr>
      <w:tblGrid>
        <w:gridCol w:w="10080"/>
        <w:gridCol w:w="4608"/>
      </w:tblGrid>
      <w:tr>
        <w:trPr>
          <w:tblHeader w:val="true"/>
        </w:trPr>
        <w:tc>
          <w:tcPr>
            <w:tcW w:type="dxa" w:w="7632"/>
            <w:shd w:fill="123B5D"/>
            <w:tcMar>
              <w:top w:w="85" w:type="dxa"/>
              <w:start w:w="110" w:type="dxa"/>
              <w:bottom w:w="85" w:type="dxa"/>
              <w:end w:w="110" w:type="dxa"/>
            </w:tcMar>
            <w:vAlign w:val="center"/>
          </w:tcPr>
          <w:p>
            <w:pPr>
              <w:spacing w:after="0"/>
            </w:pPr>
            <w:r/>
            <w:r>
              <w:rPr>
                <w:rFonts w:ascii="Aptos" w:hAnsi="Aptos"/>
                <w:b/>
                <w:color w:val="FFFFFF"/>
                <w:sz w:val="16"/>
              </w:rPr>
              <w:t>Illustrative UNF relation</w:t>
            </w:r>
          </w:p>
        </w:tc>
        <w:tc>
          <w:tcPr>
            <w:tcW w:type="dxa" w:w="7632"/>
            <w:shd w:fill="123B5D"/>
            <w:tcMar>
              <w:top w:w="85" w:type="dxa"/>
              <w:start w:w="110" w:type="dxa"/>
              <w:bottom w:w="85" w:type="dxa"/>
              <w:end w:w="110" w:type="dxa"/>
            </w:tcMar>
            <w:vAlign w:val="center"/>
          </w:tcPr>
          <w:p>
            <w:pPr>
              <w:spacing w:after="0"/>
            </w:pPr>
            <w:r/>
            <w:r>
              <w:rPr>
                <w:rFonts w:ascii="Aptos" w:hAnsi="Aptos"/>
                <w:b/>
                <w:color w:val="FFFFFF"/>
                <w:sz w:val="16"/>
              </w:rPr>
              <w:t>Repeating group / dependency issue</w:t>
            </w:r>
          </w:p>
        </w:tc>
      </w:tr>
      <w:tr>
        <w:tc>
          <w:tcPr>
            <w:tcW w:type="dxa" w:w="10080"/>
            <w:tcMar>
              <w:top w:w="85" w:type="dxa"/>
              <w:start w:w="110" w:type="dxa"/>
              <w:bottom w:w="85" w:type="dxa"/>
              <w:end w:w="110" w:type="dxa"/>
            </w:tcMar>
            <w:vAlign w:val="center"/>
          </w:tcPr>
          <w:p>
            <w:pPr>
              <w:spacing w:after="0" w:line="240" w:lineRule="auto"/>
            </w:pPr>
            <w:r/>
            <w:r>
              <w:rPr>
                <w:rFonts w:ascii="Aptos" w:hAnsi="Aptos"/>
                <w:b w:val="0"/>
                <w:color w:val="243B53"/>
                <w:sz w:val="16"/>
              </w:rPr>
              <w:t>GYM_REPORT(user_id, full_name, email, phone, applications{application_id, plan, amount, payment_reference, status}, memberships{member_row_id, member_id, plan, start_date, expiration_date}, visits{attendance_id, subject_type, check_in, check_out}, charges{transaction_id, amount, method, transaction_date})</w:t>
            </w:r>
          </w:p>
        </w:tc>
        <w:tc>
          <w:tcPr>
            <w:tcW w:type="dxa" w:w="4608"/>
            <w:tcMar>
              <w:top w:w="85" w:type="dxa"/>
              <w:start w:w="110" w:type="dxa"/>
              <w:bottom w:w="85" w:type="dxa"/>
              <w:end w:w="110" w:type="dxa"/>
            </w:tcMar>
            <w:vAlign w:val="center"/>
          </w:tcPr>
          <w:p>
            <w:pPr>
              <w:spacing w:after="0" w:line="240" w:lineRule="auto"/>
            </w:pPr>
            <w:r/>
            <w:r>
              <w:rPr>
                <w:rFonts w:ascii="Aptos" w:hAnsi="Aptos"/>
                <w:b w:val="0"/>
                <w:color w:val="243B53"/>
                <w:sz w:val="16"/>
              </w:rPr>
              <w:t>applications{...}, memberships{...}, visits{...}, charges{...} are multi-valued groups in one user row; payment-to-visit association is unclear</w:t>
            </w:r>
          </w:p>
        </w:tc>
      </w:tr>
    </w:tbl>
    <w:p>
      <w:pPr>
        <w:spacing w:after="100" w:line="259" w:lineRule="auto"/>
      </w:pPr>
      <w:r>
        <w:rPr>
          <w:rFonts w:ascii="Aptos" w:hAnsi="Aptos"/>
          <w:b/>
          <w:color w:val="123B5D"/>
          <w:sz w:val="24"/>
        </w:rPr>
        <w:t>Illustrative sample (fictional)</w:t>
      </w:r>
    </w:p>
    <w:tbl>
      <w:tblPr>
        <w:tblStyle w:val="TableGrid"/>
        <w:tblW w:type="auto" w:w="0"/>
        <w:jc w:val="center"/>
        <w:tblLayout w:type="fixed"/>
        <w:tblLook w:firstColumn="1" w:firstRow="1" w:lastColumn="0" w:lastRow="0" w:noHBand="0" w:noVBand="1" w:val="04A0"/>
      </w:tblPr>
      <w:tblGrid>
        <w:gridCol w:w="1152"/>
        <w:gridCol w:w="2088"/>
        <w:gridCol w:w="4608"/>
        <w:gridCol w:w="3456"/>
        <w:gridCol w:w="3384"/>
      </w:tblGrid>
      <w:tr>
        <w:trPr>
          <w:tblHeader w:val="true"/>
        </w:trPr>
        <w:tc>
          <w:tcPr>
            <w:tcW w:type="dxa" w:w="3053"/>
            <w:shd w:fill="123B5D"/>
            <w:tcMar>
              <w:top w:w="85" w:type="dxa"/>
              <w:start w:w="110" w:type="dxa"/>
              <w:bottom w:w="85" w:type="dxa"/>
              <w:end w:w="110" w:type="dxa"/>
            </w:tcMar>
            <w:vAlign w:val="center"/>
          </w:tcPr>
          <w:p>
            <w:pPr>
              <w:spacing w:after="0"/>
            </w:pPr>
            <w:r/>
            <w:r>
              <w:rPr>
                <w:rFonts w:ascii="Aptos" w:hAnsi="Aptos"/>
                <w:b/>
                <w:color w:val="FFFFFF"/>
                <w:sz w:val="16"/>
              </w:rPr>
              <w:t>user_id</w:t>
            </w:r>
          </w:p>
        </w:tc>
        <w:tc>
          <w:tcPr>
            <w:tcW w:type="dxa" w:w="3053"/>
            <w:shd w:fill="123B5D"/>
            <w:tcMar>
              <w:top w:w="85" w:type="dxa"/>
              <w:start w:w="110" w:type="dxa"/>
              <w:bottom w:w="85" w:type="dxa"/>
              <w:end w:w="110" w:type="dxa"/>
            </w:tcMar>
            <w:vAlign w:val="center"/>
          </w:tcPr>
          <w:p>
            <w:pPr>
              <w:spacing w:after="0"/>
            </w:pPr>
            <w:r/>
            <w:r>
              <w:rPr>
                <w:rFonts w:ascii="Aptos" w:hAnsi="Aptos"/>
                <w:b/>
                <w:color w:val="FFFFFF"/>
                <w:sz w:val="16"/>
              </w:rPr>
              <w:t>full_name</w:t>
            </w:r>
          </w:p>
        </w:tc>
        <w:tc>
          <w:tcPr>
            <w:tcW w:type="dxa" w:w="3053"/>
            <w:shd w:fill="123B5D"/>
            <w:tcMar>
              <w:top w:w="85" w:type="dxa"/>
              <w:start w:w="110" w:type="dxa"/>
              <w:bottom w:w="85" w:type="dxa"/>
              <w:end w:w="110" w:type="dxa"/>
            </w:tcMar>
            <w:vAlign w:val="center"/>
          </w:tcPr>
          <w:p>
            <w:pPr>
              <w:spacing w:after="0"/>
            </w:pPr>
            <w:r/>
            <w:r>
              <w:rPr>
                <w:rFonts w:ascii="Aptos" w:hAnsi="Aptos"/>
                <w:b/>
                <w:color w:val="FFFFFF"/>
                <w:sz w:val="16"/>
              </w:rPr>
              <w:t>applications</w:t>
            </w:r>
          </w:p>
        </w:tc>
        <w:tc>
          <w:tcPr>
            <w:tcW w:type="dxa" w:w="3053"/>
            <w:shd w:fill="123B5D"/>
            <w:tcMar>
              <w:top w:w="85" w:type="dxa"/>
              <w:start w:w="110" w:type="dxa"/>
              <w:bottom w:w="85" w:type="dxa"/>
              <w:end w:w="110" w:type="dxa"/>
            </w:tcMar>
            <w:vAlign w:val="center"/>
          </w:tcPr>
          <w:p>
            <w:pPr>
              <w:spacing w:after="0"/>
            </w:pPr>
            <w:r/>
            <w:r>
              <w:rPr>
                <w:rFonts w:ascii="Aptos" w:hAnsi="Aptos"/>
                <w:b/>
                <w:color w:val="FFFFFF"/>
                <w:sz w:val="16"/>
              </w:rPr>
              <w:t>visits</w:t>
            </w:r>
          </w:p>
        </w:tc>
        <w:tc>
          <w:tcPr>
            <w:tcW w:type="dxa" w:w="3053"/>
            <w:shd w:fill="123B5D"/>
            <w:tcMar>
              <w:top w:w="85" w:type="dxa"/>
              <w:start w:w="110" w:type="dxa"/>
              <w:bottom w:w="85" w:type="dxa"/>
              <w:end w:w="110" w:type="dxa"/>
            </w:tcMar>
            <w:vAlign w:val="center"/>
          </w:tcPr>
          <w:p>
            <w:pPr>
              <w:spacing w:after="0"/>
            </w:pPr>
            <w:r/>
            <w:r>
              <w:rPr>
                <w:rFonts w:ascii="Aptos" w:hAnsi="Aptos"/>
                <w:b/>
                <w:color w:val="FFFFFF"/>
                <w:sz w:val="16"/>
              </w:rPr>
              <w:t>charges</w:t>
            </w:r>
          </w:p>
        </w:tc>
      </w:tr>
      <w:tr>
        <w:tc>
          <w:tcPr>
            <w:tcW w:type="dxa" w:w="1152"/>
            <w:tcMar>
              <w:top w:w="85" w:type="dxa"/>
              <w:start w:w="110" w:type="dxa"/>
              <w:bottom w:w="85" w:type="dxa"/>
              <w:end w:w="110" w:type="dxa"/>
            </w:tcMar>
            <w:vAlign w:val="center"/>
          </w:tcPr>
          <w:p>
            <w:pPr>
              <w:spacing w:after="0" w:line="240" w:lineRule="auto"/>
            </w:pPr>
            <w:r/>
            <w:r>
              <w:rPr>
                <w:rFonts w:ascii="Aptos" w:hAnsi="Aptos"/>
                <w:b w:val="0"/>
                <w:color w:val="243B53"/>
                <w:sz w:val="16"/>
              </w:rPr>
              <w:t>42</w:t>
            </w:r>
          </w:p>
        </w:tc>
        <w:tc>
          <w:tcPr>
            <w:tcW w:type="dxa" w:w="2088"/>
            <w:tcMar>
              <w:top w:w="85" w:type="dxa"/>
              <w:start w:w="110" w:type="dxa"/>
              <w:bottom w:w="85" w:type="dxa"/>
              <w:end w:w="110" w:type="dxa"/>
            </w:tcMar>
            <w:vAlign w:val="center"/>
          </w:tcPr>
          <w:p>
            <w:pPr>
              <w:spacing w:after="0" w:line="240" w:lineRule="auto"/>
            </w:pPr>
            <w:r/>
            <w:r>
              <w:rPr>
                <w:rFonts w:ascii="Aptos" w:hAnsi="Aptos"/>
                <w:b w:val="0"/>
                <w:color w:val="243B53"/>
                <w:sz w:val="16"/>
              </w:rPr>
              <w:t>Alex Sample</w:t>
            </w:r>
          </w:p>
        </w:tc>
        <w:tc>
          <w:tcPr>
            <w:tcW w:type="dxa" w:w="4608"/>
            <w:tcMar>
              <w:top w:w="85" w:type="dxa"/>
              <w:start w:w="110" w:type="dxa"/>
              <w:bottom w:w="85" w:type="dxa"/>
              <w:end w:w="110" w:type="dxa"/>
            </w:tcMar>
            <w:vAlign w:val="center"/>
          </w:tcPr>
          <w:p>
            <w:pPr>
              <w:spacing w:after="0" w:line="240" w:lineRule="auto"/>
            </w:pPr>
            <w:r/>
            <w:r>
              <w:rPr>
                <w:rFonts w:ascii="Aptos" w:hAnsi="Aptos"/>
                <w:b w:val="0"/>
                <w:color w:val="243B53"/>
                <w:sz w:val="16"/>
              </w:rPr>
              <w:t>A17: Monthly / 1200 / PENDING; A18: Monthly / 1200 / APPROVED</w:t>
            </w:r>
          </w:p>
        </w:tc>
        <w:tc>
          <w:tcPr>
            <w:tcW w:type="dxa" w:w="3456"/>
            <w:tcMar>
              <w:top w:w="85" w:type="dxa"/>
              <w:start w:w="110" w:type="dxa"/>
              <w:bottom w:w="85" w:type="dxa"/>
              <w:end w:w="110" w:type="dxa"/>
            </w:tcMar>
            <w:vAlign w:val="center"/>
          </w:tcPr>
          <w:p>
            <w:pPr>
              <w:spacing w:after="0" w:line="240" w:lineRule="auto"/>
            </w:pPr>
            <w:r/>
            <w:r>
              <w:rPr>
                <w:rFonts w:ascii="Aptos" w:hAnsi="Aptos"/>
                <w:b w:val="0"/>
                <w:color w:val="243B53"/>
                <w:sz w:val="16"/>
              </w:rPr>
              <w:t>V31: 08:00–09:00; V32: 17:00–18:00</w:t>
            </w:r>
          </w:p>
        </w:tc>
        <w:tc>
          <w:tcPr>
            <w:tcW w:type="dxa" w:w="3384"/>
            <w:tcMar>
              <w:top w:w="85" w:type="dxa"/>
              <w:start w:w="110" w:type="dxa"/>
              <w:bottom w:w="85" w:type="dxa"/>
              <w:end w:w="110" w:type="dxa"/>
            </w:tcMar>
            <w:vAlign w:val="center"/>
          </w:tcPr>
          <w:p>
            <w:pPr>
              <w:spacing w:after="0" w:line="240" w:lineRule="auto"/>
            </w:pPr>
            <w:r/>
            <w:r>
              <w:rPr>
                <w:rFonts w:ascii="Aptos" w:hAnsi="Aptos"/>
                <w:b w:val="0"/>
                <w:color w:val="243B53"/>
                <w:sz w:val="16"/>
              </w:rPr>
              <w:t>T91: 1200 / GCASH; T92: 50 / CASH</w:t>
            </w:r>
          </w:p>
        </w:tc>
      </w:tr>
    </w:tbl>
    <w:p>
      <w:pPr>
        <w:spacing w:after="240" w:line="259" w:lineRule="auto"/>
      </w:pPr>
      <w:r>
        <w:rPr>
          <w:rFonts w:ascii="Aptos" w:hAnsi="Aptos"/>
          <w:b w:val="0"/>
          <w:color w:val="60758A"/>
          <w:sz w:val="17"/>
        </w:rPr>
        <w:t>This sample is synthetic and demonstrates repetition only; it is not actual member or transaction data.</w:t>
      </w:r>
    </w:p>
    <w:p>
      <w:pPr>
        <w:spacing w:after="80" w:line="259" w:lineRule="auto"/>
      </w:pPr>
      <w:r>
        <w:rPr>
          <w:rFonts w:ascii="Aptos" w:hAnsi="Aptos"/>
          <w:b/>
          <w:color w:val="123B5D"/>
          <w:sz w:val="24"/>
        </w:rPr>
        <w:t>Change into 1NF</w:t>
      </w:r>
    </w:p>
    <w:p>
      <w:pPr>
        <w:spacing w:after="80" w:line="259" w:lineRule="auto"/>
      </w:pPr>
      <w:r>
        <w:rPr>
          <w:rFonts w:ascii="Aptos" w:hAnsi="Aptos"/>
          <w:b w:val="0"/>
          <w:color w:val="243B53"/>
          <w:sz w:val="20"/>
        </w:rPr>
        <w:t>Move each repeating application, membership, visit, guest, payment, and extension occurrence to its own row-level relation. Preserve the user_id and event identifiers as references. The application already follows this decomposition; no sample UNF table is claimed to exist.</w:t>
      </w:r>
    </w:p>
    <w:p>
      <w:pPr>
        <w:pageBreakBefore w:val="0"/>
        <w:spacing w:after="60" w:line="259" w:lineRule="auto"/>
      </w:pPr>
      <w:r>
        <w:rPr>
          <w:rFonts w:ascii="Aptos" w:hAnsi="Aptos"/>
          <w:b/>
          <w:color w:val="123B5D"/>
          <w:sz w:val="48"/>
        </w:rPr>
        <w:t>02  |  FIRST NORMAL FORM (1NF)</w:t>
      </w:r>
    </w:p>
    <w:p>
      <w:pPr>
        <w:spacing w:after="240" w:line="259" w:lineRule="auto"/>
      </w:pPr>
      <w:r>
        <w:rPr>
          <w:rFonts w:ascii="Aptos" w:hAnsi="Aptos"/>
          <w:b w:val="0"/>
          <w:color w:val="526B80"/>
          <w:sz w:val="21"/>
        </w:rPr>
        <w:t>Atomic attributes; one row per entity/event. PK* and FK† mark logical keys/references pending live-catalog verification.</w:t>
      </w:r>
    </w:p>
    <w:p>
      <w:pPr>
        <w:spacing w:after="200" w:line="259" w:lineRule="auto"/>
      </w:pPr>
      <w:r>
        <w:rPr>
          <w:rFonts w:ascii="Aptos" w:hAnsi="Aptos"/>
          <w:b w:val="0"/>
          <w:color w:val="243B53"/>
          <w:sz w:val="19"/>
        </w:rPr>
        <w:t>The full 1NF schema is shown below in entity tables. The existing implementation has scalar columns and records repeating events as separate rows. For this assessment, no violation of 1NF is demonstrated by the visible column inventory.</w:t>
      </w:r>
    </w:p>
    <w:p>
      <w:pPr>
        <w:pageBreakBefore w:val="0"/>
        <w:spacing w:after="60" w:line="259" w:lineRule="auto"/>
      </w:pPr>
      <w:r>
        <w:rPr>
          <w:rFonts w:ascii="Aptos" w:hAnsi="Aptos"/>
          <w:b/>
          <w:color w:val="123B5D"/>
          <w:sz w:val="48"/>
        </w:rPr>
        <w:t>1NF SCHEMAS  |  ACCOUNT &amp; MEMBERSHIP</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USERS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password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phone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role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profile_photo</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APPLICATIONS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gcash_reference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payment_screenshot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rejection_reason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ACCOUNT &amp; MEMBERSHIP</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MEMBERS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registration_type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start_date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expiration_date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qr_code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paused_days_remaining</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archived_archive_id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bl>
    <w:p>
      <w:pPr>
        <w:spacing w:after="20" w:line="259" w:lineRule="auto"/>
      </w:pPr>
    </w:p>
    <w:p>
      <w:pPr>
        <w:pageBreakBefore w:val="0"/>
        <w:spacing w:after="60" w:line="259" w:lineRule="auto"/>
      </w:pPr>
      <w:r>
        <w:rPr>
          <w:rFonts w:ascii="Aptos" w:hAnsi="Aptos"/>
          <w:b/>
          <w:color w:val="123B5D"/>
          <w:sz w:val="48"/>
        </w:rPr>
        <w:t>1NF SCHEMAS  |  ACCOUNT &amp; MEMBERSHIP</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MEMBER_TRANSACTIONS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application_id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gcash_reference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transaction_date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verified_by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verification_date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ACCOUNT &amp; MEMBERSHIP</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ARCHIVED_MEMBERS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original_member_id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registration_type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start_date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expiration_date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qr_code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removal_reason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restored_at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ATTENDANCE &amp; GUEST BILLING</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ATTENDANCE</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check_in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check_out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expiration_time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voided_at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GUESTS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phone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visit_type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amount_paid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hours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ATTENDANCE &amp; GUEST BILLING</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GUEST_TRANSACTIONS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guest_name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visit_type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NUMERIC(10,2)</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transaction_date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transaction_reference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attendance_id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extension_type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additional_hours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previous_expiration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new_expiration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idempotency_key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ATTENDANCE &amp; GUEST BILLING</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GUEST_VISIT_EXTENSIONS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attendance_id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extension_type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additional_hours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NUMERIC(10,2)</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previous_expiration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new_expiration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transaction_reference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guest_transaction_id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idempotency_key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NOTIFICATIONS &amp; AUTHENTICATION</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NOTIFICATIONS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title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message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is_read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BOOLEAN</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ADMIN_SESSIONS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NOTIFICATIONS &amp; AUTHENTICATION</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CUSTOMER_SESSIONS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MEMBER_QR_TOKENS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consumed_at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1NF SCHEMAS  |  NOTIFICATIONS &amp; AUTHENTICATION</w:t>
      </w:r>
    </w:p>
    <w:p>
      <w:pPr>
        <w:spacing w:after="240" w:line="259" w:lineRule="auto"/>
      </w:pPr>
      <w:r>
        <w:rPr>
          <w:rFonts w:ascii="Aptos" w:hAnsi="Aptos"/>
          <w:b w:val="0"/>
          <w:color w:val="526B80"/>
          <w:sz w:val="21"/>
        </w:rPr>
        <w:t>Scalar attributes and row-level event records.</w:t>
      </w:r>
    </w:p>
    <w:p>
      <w:pPr>
        <w:spacing w:after="40" w:line="259" w:lineRule="auto"/>
      </w:pPr>
      <w:r>
        <w:rPr>
          <w:rFonts w:ascii="Aptos" w:hAnsi="Aptos"/>
          <w:b/>
          <w:color w:val="123B5D"/>
          <w:sz w:val="22"/>
        </w:rPr>
        <w:t>PASSWORD_RESET_TOKENS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attempts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verified_at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reset_token_hash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03  |  SECOND NORMAL FORM (2NF)</w:t>
      </w:r>
    </w:p>
    <w:p>
      <w:pPr>
        <w:spacing w:after="240" w:line="259" w:lineRule="auto"/>
      </w:pPr>
      <w:r>
        <w:rPr>
          <w:rFonts w:ascii="Aptos" w:hAnsi="Aptos"/>
          <w:b w:val="0"/>
          <w:color w:val="526B80"/>
          <w:sz w:val="21"/>
        </w:rPr>
        <w:t>Partial-dependency check against candidate keys.</w:t>
      </w:r>
    </w:p>
    <w:p>
      <w:pPr>
        <w:spacing w:after="80" w:line="259" w:lineRule="auto"/>
      </w:pPr>
      <w:r>
        <w:rPr>
          <w:rFonts w:ascii="Aptos" w:hAnsi="Aptos"/>
          <w:b w:val="0"/>
          <w:color w:val="243B53"/>
          <w:sz w:val="20"/>
        </w:rPr>
        <w:t>Rule: a relation must be in 1NF, and each non-key attribute must depend on the whole of every candidate key. A partial dependency requires a composite candidate key and dependence on only part of it.</w:t>
      </w:r>
    </w:p>
    <w:p>
      <w:pPr>
        <w:spacing w:after="80" w:line="259" w:lineRule="auto"/>
      </w:pPr>
      <w:r>
        <w:rPr>
          <w:rFonts w:ascii="Aptos" w:hAnsi="Aptos"/>
          <w:b/>
          <w:color w:val="123B5D"/>
          <w:sz w:val="24"/>
        </w:rPr>
        <w:t>Evidence-based result</w:t>
      </w:r>
    </w:p>
    <w:p>
      <w:pPr>
        <w:spacing w:after="80" w:line="259" w:lineRule="auto"/>
      </w:pPr>
      <w:r>
        <w:rPr>
          <w:rFonts w:ascii="Aptos" w:hAnsi="Aptos"/>
          <w:b w:val="0"/>
          <w:color w:val="243B53"/>
          <w:sz w:val="20"/>
        </w:rPr>
        <w:t>All documented row identifiers are single-column logical keys (id, archive_id, or token_hash). If these are the actual candidate keys and no additional composite candidate key exists, no partial dependency can occur. The project files do not establish the full candidate-key set for the legacy tables, so formal 2NF certification is conditional.</w:t>
      </w:r>
    </w:p>
    <w:tbl>
      <w:tblPr>
        <w:tblStyle w:val="TableGrid"/>
        <w:tblW w:type="auto" w:w="0"/>
        <w:jc w:val="center"/>
        <w:tblLayout w:type="fixed"/>
        <w:tblLook w:firstColumn="1" w:firstRow="1" w:lastColumn="0" w:lastRow="0" w:noHBand="0" w:noVBand="1" w:val="04A0"/>
      </w:tblPr>
      <w:tblGrid>
        <w:gridCol w:w="2952"/>
        <w:gridCol w:w="8856"/>
        <w:gridCol w:w="2952"/>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4"/>
              </w:rPr>
              <w:t>1NF relation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4"/>
              </w:rPr>
              <w:t>2NF relation structure (PK/FK marked)</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4"/>
              </w:rPr>
              <w:t>2NF result / transformation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USERS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id PK*; full_name; email; password; phone; role; created_at; profile_photo</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APPLICATIONS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id PK*; user_id FK†; membership_plan; amount; gcash_reference; payment_screenshot; payment_date; status; rejection_reason; created_at</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MEMBERS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id PK*; user_id FK†; member_id; registration_type; membership_plan; start_date; expiration_date; status; qr_code; paused_days_remaining; archived_at; archived_archive_id FK†</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MEMBER_TRANSACTIONS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id PK*; user_id FK†; member_id FK†; application_id FK†; amount; payment_method; gcash_reference; transaction_date; status; verified_by; verification_date; created_at</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ATTENDANCE</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id PK*; member_id FK†; guest_id FK†; user_type; check_in; check_out; expires_at; expiration_time; voided_at</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GUESTS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id PK*; full_name; phone; visit_type; amount_paid; payment_method; created_at; hours; email</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GUEST_TRANSACTIONS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id PK; guest_id FK†; guest_name; visit_type; amount; payment_method; transaction_date; created_at; transaction_reference; attendance_id FK†; extension_type; additional_hours; payment_status; previous_expiration; new_expiration; idempotency_key</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GUEST_VISIT_EXTENSIONS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id PK; attendance_id FK†; guest_id FK†; extension_type; additional_hours; amount; payment_status; previous_expiration; new_expiration; transaction_reference; guest_transaction_id FK†; idempotency_key; payment_date; created_at</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ARCHIVED_MEMBERS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archive_id PK*; original_member_id FK†; user_id FK†; member_id; full_name; email; registration_type; membership_plan; start_date; expiration_date; status; qr_code; archived_at; removal_reason; restored_at</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NOTIFICATIONS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id PK*; user_id FK†; title; message; is_read; created_at; type</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ADMIN_SESSIONS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token_hash PK; user_id FK; expires_at; created_at</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CUSTOMER_SESSIONS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token_hash PK; user_id FK; expires_at; created_at</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vAlign w:val="center"/>
          </w:tcPr>
          <w:p>
            <w:pPr>
              <w:spacing w:after="0" w:line="240" w:lineRule="auto"/>
            </w:pPr>
            <w:r/>
            <w:r>
              <w:rPr>
                <w:rFonts w:ascii="Aptos" w:hAnsi="Aptos"/>
                <w:b w:val="0"/>
                <w:color w:val="243B53"/>
                <w:sz w:val="14"/>
              </w:rPr>
              <w:t>MEMBER_QR_TOKENS</w:t>
            </w:r>
          </w:p>
        </w:tc>
        <w:tc>
          <w:tcPr>
            <w:tcW w:type="dxa" w:w="8856"/>
            <w:tcMar>
              <w:top w:w="85" w:type="dxa"/>
              <w:start w:w="110" w:type="dxa"/>
              <w:bottom w:w="85" w:type="dxa"/>
              <w:end w:w="110" w:type="dxa"/>
            </w:tcMar>
            <w:vAlign w:val="center"/>
          </w:tcPr>
          <w:p>
            <w:pPr>
              <w:spacing w:after="0" w:line="240" w:lineRule="auto"/>
            </w:pPr>
            <w:r/>
            <w:r>
              <w:rPr>
                <w:rFonts w:ascii="Consolas" w:hAnsi="Consolas"/>
                <w:b w:val="0"/>
                <w:color w:val="243B53"/>
                <w:sz w:val="14"/>
              </w:rPr>
              <w:t>token_hash PK; member_id FK; expires_at; consumed_at; created_at</w:t>
            </w:r>
          </w:p>
        </w:tc>
        <w:tc>
          <w:tcPr>
            <w:tcW w:type="dxa" w:w="2952"/>
            <w:tcMar>
              <w:top w:w="85" w:type="dxa"/>
              <w:start w:w="110" w:type="dxa"/>
              <w:bottom w:w="85" w:type="dxa"/>
              <w:end w:w="110" w:type="dxa"/>
            </w:tcMar>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r>
        <w:tc>
          <w:tcPr>
            <w:tcW w:type="dxa" w:w="2952"/>
            <w:tcMar>
              <w:top w:w="85" w:type="dxa"/>
              <w:start w:w="110" w:type="dxa"/>
              <w:bottom w:w="85" w:type="dxa"/>
              <w:end w:w="110" w:type="dxa"/>
            </w:tcMar>
            <w:shd w:fill="F1F5F8"/>
            <w:vAlign w:val="center"/>
          </w:tcPr>
          <w:p>
            <w:pPr>
              <w:spacing w:after="0" w:line="240" w:lineRule="auto"/>
            </w:pPr>
            <w:r/>
            <w:r>
              <w:rPr>
                <w:rFonts w:ascii="Aptos" w:hAnsi="Aptos"/>
                <w:b w:val="0"/>
                <w:color w:val="243B53"/>
                <w:sz w:val="14"/>
              </w:rPr>
              <w:t>PASSWORD_RESET_TOKENS</w:t>
            </w:r>
          </w:p>
        </w:tc>
        <w:tc>
          <w:tcPr>
            <w:tcW w:type="dxa" w:w="8856"/>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token_hash PK; user_id FK; expires_at; used_at; attempts; verified_at; reset_token_hash; created_at</w:t>
            </w:r>
          </w:p>
        </w:tc>
        <w:tc>
          <w:tcPr>
            <w:tcW w:type="dxa" w:w="2952"/>
            <w:tcMar>
              <w:top w:w="85" w:type="dxa"/>
              <w:start w:w="110" w:type="dxa"/>
              <w:bottom w:w="85" w:type="dxa"/>
              <w:end w:w="110" w:type="dxa"/>
            </w:tcMar>
            <w:shd w:fill="F1F5F8"/>
            <w:vAlign w:val="center"/>
          </w:tcPr>
          <w:p>
            <w:pPr>
              <w:spacing w:after="0" w:line="240" w:lineRule="auto"/>
            </w:pPr>
            <w:r/>
            <w:r>
              <w:rPr>
                <w:rFonts w:ascii="Consolas" w:hAnsi="Consolas"/>
                <w:b w:val="0"/>
                <w:color w:val="243B53"/>
                <w:sz w:val="14"/>
              </w:rPr>
              <w:t>No partial dependency demonstrated; relation/columns unchanged pending catalog key verification.</w:t>
            </w:r>
          </w:p>
        </w:tc>
      </w:tr>
    </w:tbl>
    <w:p>
      <w:pPr>
        <w:spacing w:after="80" w:line="259" w:lineRule="auto"/>
      </w:pPr>
      <w:r>
        <w:rPr>
          <w:rFonts w:ascii="Aptos" w:hAnsi="Aptos"/>
          <w:b/>
          <w:color w:val="123B5D"/>
          <w:sz w:val="24"/>
        </w:rPr>
        <w:t>Functional-dependency example</w:t>
      </w:r>
    </w:p>
    <w:tbl>
      <w:tblPr>
        <w:tblStyle w:val="TableGrid"/>
        <w:tblW w:type="auto" w:w="0"/>
        <w:jc w:val="center"/>
        <w:tblLayout w:type="fixed"/>
        <w:tblLook w:firstColumn="1" w:firstRow="1" w:lastColumn="0" w:lastRow="0" w:noHBand="0" w:noVBand="1" w:val="04A0"/>
      </w:tblPr>
      <w:tblGrid>
        <w:gridCol w:w="2160"/>
        <w:gridCol w:w="7200"/>
        <w:gridCol w:w="5328"/>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Relation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Intended dependency</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Why no 2NF split is supported</w:t>
            </w:r>
          </w:p>
        </w:tc>
      </w:tr>
      <w:tr>
        <w:tc>
          <w:tcPr>
            <w:tcW w:type="dxa" w:w="2160"/>
            <w:tcMar>
              <w:top w:w="85" w:type="dxa"/>
              <w:start w:w="110" w:type="dxa"/>
              <w:bottom w:w="85" w:type="dxa"/>
              <w:end w:w="110" w:type="dxa"/>
            </w:tcMar>
            <w:vAlign w:val="center"/>
          </w:tcPr>
          <w:p>
            <w:pPr>
              <w:spacing w:after="0" w:line="240" w:lineRule="auto"/>
            </w:pPr>
            <w:r/>
            <w:r>
              <w:rPr>
                <w:rFonts w:ascii="Aptos" w:hAnsi="Aptos"/>
                <w:b w:val="0"/>
                <w:color w:val="243B53"/>
                <w:sz w:val="15"/>
              </w:rPr>
              <w:t>APPLICATIONS</w:t>
            </w:r>
          </w:p>
        </w:tc>
        <w:tc>
          <w:tcPr>
            <w:tcW w:type="dxa" w:w="7200"/>
            <w:tcMar>
              <w:top w:w="85" w:type="dxa"/>
              <w:start w:w="110" w:type="dxa"/>
              <w:bottom w:w="85" w:type="dxa"/>
              <w:end w:w="110" w:type="dxa"/>
            </w:tcMar>
            <w:vAlign w:val="center"/>
          </w:tcPr>
          <w:p>
            <w:pPr>
              <w:spacing w:after="0" w:line="240" w:lineRule="auto"/>
            </w:pPr>
            <w:r/>
            <w:r>
              <w:rPr>
                <w:rFonts w:ascii="Consolas" w:hAnsi="Consolas"/>
                <w:b w:val="0"/>
                <w:color w:val="243B53"/>
                <w:sz w:val="15"/>
              </w:rPr>
              <w:t>id → user_id, membership_plan, amount, gcash_reference, payment_screenshot, payment_date, status, rejection_reason, created_at</w:t>
            </w:r>
          </w:p>
        </w:tc>
        <w:tc>
          <w:tcPr>
            <w:tcW w:type="dxa" w:w="5328"/>
            <w:tcMar>
              <w:top w:w="85" w:type="dxa"/>
              <w:start w:w="110" w:type="dxa"/>
              <w:bottom w:w="85" w:type="dxa"/>
              <w:end w:w="110" w:type="dxa"/>
            </w:tcMar>
            <w:vAlign w:val="center"/>
          </w:tcPr>
          <w:p>
            <w:pPr>
              <w:spacing w:after="0" w:line="240" w:lineRule="auto"/>
            </w:pPr>
            <w:r/>
            <w:r>
              <w:rPr>
                <w:rFonts w:ascii="Consolas" w:hAnsi="Consolas"/>
                <w:b w:val="0"/>
                <w:color w:val="243B53"/>
                <w:sz w:val="15"/>
              </w:rPr>
              <w:t>id is a single attribute; there is no proper subset of that key. No composite key/partial dependency is evidenced.</w:t>
            </w:r>
          </w:p>
        </w:tc>
      </w:tr>
      <w:tr>
        <w:tc>
          <w:tcPr>
            <w:tcW w:type="dxa" w:w="2160"/>
            <w:tcMar>
              <w:top w:w="85" w:type="dxa"/>
              <w:start w:w="110" w:type="dxa"/>
              <w:bottom w:w="85" w:type="dxa"/>
              <w:end w:w="110" w:type="dxa"/>
            </w:tcMar>
            <w:shd w:fill="F1F5F8"/>
            <w:vAlign w:val="center"/>
          </w:tcPr>
          <w:p>
            <w:pPr>
              <w:spacing w:after="0" w:line="240" w:lineRule="auto"/>
            </w:pPr>
            <w:r/>
            <w:r>
              <w:rPr>
                <w:rFonts w:ascii="Aptos" w:hAnsi="Aptos"/>
                <w:b w:val="0"/>
                <w:color w:val="243B53"/>
                <w:sz w:val="15"/>
              </w:rPr>
              <w:t>ATTENDANCE</w:t>
            </w:r>
          </w:p>
        </w:tc>
        <w:tc>
          <w:tcPr>
            <w:tcW w:type="dxa" w:w="7200"/>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id → member_id, guest_id, user_type, check_in, check_out, expires_at, expiration_time, voided_at</w:t>
            </w:r>
          </w:p>
        </w:tc>
        <w:tc>
          <w:tcPr>
            <w:tcW w:type="dxa" w:w="532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The same single-column-key reasoning applies; the member/guest XOR concern is a referential consistency issue, not a demonstrated 2NF violation.</w:t>
            </w:r>
          </w:p>
        </w:tc>
      </w:tr>
    </w:tbl>
    <w:p>
      <w:pPr>
        <w:spacing w:after="160" w:line="259" w:lineRule="auto"/>
      </w:pPr>
      <w:r>
        <w:rPr>
          <w:rFonts w:ascii="Aptos" w:hAnsi="Aptos"/>
          <w:b/>
          <w:color w:val="087F8C"/>
          <w:sz w:val="19"/>
        </w:rPr>
        <w:t>Change from 1NF to 2NF: none justified by available evidence. No composite-key associative/line-item table is documented; one is not invented merely to demonstrate 2NF.</w:t>
      </w:r>
    </w:p>
    <w:p>
      <w:pPr>
        <w:pageBreakBefore w:val="0"/>
        <w:spacing w:after="60" w:line="259" w:lineRule="auto"/>
      </w:pPr>
      <w:r>
        <w:rPr>
          <w:rFonts w:ascii="Aptos" w:hAnsi="Aptos"/>
          <w:b/>
          <w:color w:val="123B5D"/>
          <w:sz w:val="48"/>
        </w:rPr>
        <w:t>04  |  THIRD NORMAL FORM (3NF)</w:t>
      </w:r>
    </w:p>
    <w:p>
      <w:pPr>
        <w:spacing w:after="240" w:line="259" w:lineRule="auto"/>
      </w:pPr>
      <w:r>
        <w:rPr>
          <w:rFonts w:ascii="Aptos" w:hAnsi="Aptos"/>
          <w:b w:val="0"/>
          <w:color w:val="526B80"/>
          <w:sz w:val="21"/>
        </w:rPr>
        <w:t>Transitive-dependency check and final 3NF-oriented schema.</w:t>
      </w:r>
    </w:p>
    <w:p>
      <w:pPr>
        <w:spacing w:after="80" w:line="259" w:lineRule="auto"/>
      </w:pPr>
      <w:r>
        <w:rPr>
          <w:rFonts w:ascii="Aptos" w:hAnsi="Aptos"/>
          <w:b w:val="0"/>
          <w:color w:val="243B53"/>
          <w:sz w:val="19"/>
        </w:rPr>
        <w:t>Rule: a relation must be in 2NF, and non-key attributes must not depend transitively on a candidate key through another non-key attribute. No transitive dependency is asserted without evidence of the relevant determinant and business rule.</w:t>
      </w:r>
    </w:p>
    <w:tbl>
      <w:tblPr>
        <w:tblStyle w:val="TableGrid"/>
        <w:tblW w:type="auto" w:w="0"/>
        <w:jc w:val="center"/>
        <w:tblLayout w:type="fixed"/>
        <w:tblLook w:firstColumn="1" w:firstRow="1" w:lastColumn="0" w:lastRow="0" w:noHBand="0" w:noVBand="1" w:val="04A0"/>
      </w:tblPr>
      <w:tblGrid>
        <w:gridCol w:w="2592"/>
        <w:gridCol w:w="5328"/>
        <w:gridCol w:w="6768"/>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Area</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Dependency considered</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5"/>
              </w:rPr>
              <w:t>Evidence-based treatment</w:t>
            </w:r>
          </w:p>
        </w:tc>
      </w:tr>
      <w:tr>
        <w:tc>
          <w:tcPr>
            <w:tcW w:type="dxa" w:w="2592"/>
            <w:tcMar>
              <w:top w:w="85" w:type="dxa"/>
              <w:start w:w="110" w:type="dxa"/>
              <w:bottom w:w="85" w:type="dxa"/>
              <w:end w:w="110" w:type="dxa"/>
            </w:tcMar>
            <w:vAlign w:val="center"/>
          </w:tcPr>
          <w:p>
            <w:pPr>
              <w:spacing w:after="0" w:line="240" w:lineRule="auto"/>
            </w:pPr>
            <w:r/>
            <w:r>
              <w:rPr>
                <w:rFonts w:ascii="Aptos" w:hAnsi="Aptos"/>
                <w:b w:val="0"/>
                <w:color w:val="243B53"/>
                <w:sz w:val="15"/>
              </w:rPr>
              <w:t>Member transaction / application</w:t>
            </w:r>
          </w:p>
        </w:tc>
        <w:tc>
          <w:tcPr>
            <w:tcW w:type="dxa" w:w="5328"/>
            <w:tcMar>
              <w:top w:w="85" w:type="dxa"/>
              <w:start w:w="110" w:type="dxa"/>
              <w:bottom w:w="85" w:type="dxa"/>
              <w:end w:w="110" w:type="dxa"/>
            </w:tcMar>
            <w:vAlign w:val="center"/>
          </w:tcPr>
          <w:p>
            <w:pPr>
              <w:spacing w:after="0" w:line="240" w:lineRule="auto"/>
            </w:pPr>
            <w:r/>
            <w:r>
              <w:rPr>
                <w:rFonts w:ascii="Consolas" w:hAnsi="Consolas"/>
                <w:b w:val="0"/>
                <w:color w:val="243B53"/>
                <w:sz w:val="15"/>
              </w:rPr>
              <w:t>If application_id → user_id, amount, reference, then those repeated values may be derivable.</w:t>
            </w:r>
          </w:p>
        </w:tc>
        <w:tc>
          <w:tcPr>
            <w:tcW w:type="dxa" w:w="6768"/>
            <w:tcMar>
              <w:top w:w="85" w:type="dxa"/>
              <w:start w:w="110" w:type="dxa"/>
              <w:bottom w:w="85" w:type="dxa"/>
              <w:end w:w="110" w:type="dxa"/>
            </w:tcMar>
            <w:vAlign w:val="center"/>
          </w:tcPr>
          <w:p>
            <w:pPr>
              <w:spacing w:after="0" w:line="240" w:lineRule="auto"/>
            </w:pPr>
            <w:r/>
            <w:r>
              <w:rPr>
                <w:rFonts w:ascii="Consolas" w:hAnsi="Consolas"/>
                <w:b w:val="0"/>
                <w:color w:val="243B53"/>
                <w:sz w:val="15"/>
              </w:rPr>
              <w:t>Approval copies application details into a separate payment-ledger row, but the files do not establish whether these are synchronized current values or transaction facts. Keep the implemented relations; confirm the business dependency.</w:t>
            </w:r>
          </w:p>
        </w:tc>
      </w:tr>
      <w:tr>
        <w:tc>
          <w:tcPr>
            <w:tcW w:type="dxa" w:w="2592"/>
            <w:tcMar>
              <w:top w:w="85" w:type="dxa"/>
              <w:start w:w="110" w:type="dxa"/>
              <w:bottom w:w="85" w:type="dxa"/>
              <w:end w:w="110" w:type="dxa"/>
            </w:tcMar>
            <w:shd w:fill="F1F5F8"/>
            <w:vAlign w:val="center"/>
          </w:tcPr>
          <w:p>
            <w:pPr>
              <w:spacing w:after="0" w:line="240" w:lineRule="auto"/>
            </w:pPr>
            <w:r/>
            <w:r>
              <w:rPr>
                <w:rFonts w:ascii="Aptos" w:hAnsi="Aptos"/>
                <w:b w:val="0"/>
                <w:color w:val="243B53"/>
                <w:sz w:val="15"/>
              </w:rPr>
              <w:t>Guest / guest transaction</w:t>
            </w:r>
          </w:p>
        </w:tc>
        <w:tc>
          <w:tcPr>
            <w:tcW w:type="dxa" w:w="532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If guest_id → current guest_name and visit_type, copied fields could be transitive.</w:t>
            </w:r>
          </w:p>
        </w:tc>
        <w:tc>
          <w:tcPr>
            <w:tcW w:type="dxa" w:w="676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Transaction inserts copy labels. Treat as transaction-time snapshots unless the business rule says they track current guest data.</w:t>
            </w:r>
          </w:p>
        </w:tc>
      </w:tr>
      <w:tr>
        <w:tc>
          <w:tcPr>
            <w:tcW w:type="dxa" w:w="2592"/>
            <w:tcMar>
              <w:top w:w="85" w:type="dxa"/>
              <w:start w:w="110" w:type="dxa"/>
              <w:bottom w:w="85" w:type="dxa"/>
              <w:end w:w="110" w:type="dxa"/>
            </w:tcMar>
            <w:vAlign w:val="center"/>
          </w:tcPr>
          <w:p>
            <w:pPr>
              <w:spacing w:after="0" w:line="240" w:lineRule="auto"/>
            </w:pPr>
            <w:r/>
            <w:r>
              <w:rPr>
                <w:rFonts w:ascii="Aptos" w:hAnsi="Aptos"/>
                <w:b w:val="0"/>
                <w:color w:val="243B53"/>
                <w:sz w:val="15"/>
              </w:rPr>
              <w:t>Archived member</w:t>
            </w:r>
          </w:p>
        </w:tc>
        <w:tc>
          <w:tcPr>
            <w:tcW w:type="dxa" w:w="5328"/>
            <w:tcMar>
              <w:top w:w="85" w:type="dxa"/>
              <w:start w:w="110" w:type="dxa"/>
              <w:bottom w:w="85" w:type="dxa"/>
              <w:end w:w="110" w:type="dxa"/>
            </w:tcMar>
            <w:vAlign w:val="center"/>
          </w:tcPr>
          <w:p>
            <w:pPr>
              <w:spacing w:after="0" w:line="240" w:lineRule="auto"/>
            </w:pPr>
            <w:r/>
            <w:r>
              <w:rPr>
                <w:rFonts w:ascii="Consolas" w:hAnsi="Consolas"/>
                <w:b w:val="0"/>
                <w:color w:val="243B53"/>
                <w:sz w:val="15"/>
              </w:rPr>
              <w:t>Archive values may be derivable from current users/members.</w:t>
            </w:r>
          </w:p>
        </w:tc>
        <w:tc>
          <w:tcPr>
            <w:tcW w:type="dxa" w:w="6768"/>
            <w:tcMar>
              <w:top w:w="85" w:type="dxa"/>
              <w:start w:w="110" w:type="dxa"/>
              <w:bottom w:w="85" w:type="dxa"/>
              <w:end w:w="110" w:type="dxa"/>
            </w:tcMar>
            <w:vAlign w:val="center"/>
          </w:tcPr>
          <w:p>
            <w:pPr>
              <w:spacing w:after="0" w:line="240" w:lineRule="auto"/>
            </w:pPr>
            <w:r/>
            <w:r>
              <w:rPr>
                <w:rFonts w:ascii="Consolas" w:hAnsi="Consolas"/>
                <w:b w:val="0"/>
                <w:color w:val="243B53"/>
                <w:sz w:val="15"/>
              </w:rPr>
              <w:t>Archive workflow copies a historical snapshot. Retain as point-in-time facts; do not synchronize history.</w:t>
            </w:r>
          </w:p>
        </w:tc>
      </w:tr>
      <w:tr>
        <w:tc>
          <w:tcPr>
            <w:tcW w:type="dxa" w:w="2592"/>
            <w:tcMar>
              <w:top w:w="85" w:type="dxa"/>
              <w:start w:w="110" w:type="dxa"/>
              <w:bottom w:w="85" w:type="dxa"/>
              <w:end w:w="110" w:type="dxa"/>
            </w:tcMar>
            <w:shd w:fill="F1F5F8"/>
            <w:vAlign w:val="center"/>
          </w:tcPr>
          <w:p>
            <w:pPr>
              <w:spacing w:after="0" w:line="240" w:lineRule="auto"/>
            </w:pPr>
            <w:r/>
            <w:r>
              <w:rPr>
                <w:rFonts w:ascii="Aptos" w:hAnsi="Aptos"/>
                <w:b w:val="0"/>
                <w:color w:val="243B53"/>
                <w:sz w:val="15"/>
              </w:rPr>
              <w:t>Extension / guest transaction</w:t>
            </w:r>
          </w:p>
        </w:tc>
        <w:tc>
          <w:tcPr>
            <w:tcW w:type="dxa" w:w="532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Potential overlap in amount, status, references, expiration values.</w:t>
            </w:r>
          </w:p>
        </w:tc>
        <w:tc>
          <w:tcPr>
            <w:tcW w:type="dxa" w:w="676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Rows represent extension event versus charge. No one-to-one or equality dependency is established.</w:t>
            </w:r>
          </w:p>
        </w:tc>
      </w:tr>
      <w:tr>
        <w:tc>
          <w:tcPr>
            <w:tcW w:type="dxa" w:w="2592"/>
            <w:tcMar>
              <w:top w:w="85" w:type="dxa"/>
              <w:start w:w="110" w:type="dxa"/>
              <w:bottom w:w="85" w:type="dxa"/>
              <w:end w:w="110" w:type="dxa"/>
            </w:tcMar>
            <w:vAlign w:val="center"/>
          </w:tcPr>
          <w:p>
            <w:pPr>
              <w:spacing w:after="0" w:line="240" w:lineRule="auto"/>
            </w:pPr>
            <w:r/>
            <w:r>
              <w:rPr>
                <w:rFonts w:ascii="Aptos" w:hAnsi="Aptos"/>
                <w:b w:val="0"/>
                <w:color w:val="243B53"/>
                <w:sz w:val="15"/>
              </w:rPr>
              <w:t>Membership plan / amount</w:t>
            </w:r>
          </w:p>
        </w:tc>
        <w:tc>
          <w:tcPr>
            <w:tcW w:type="dxa" w:w="5328"/>
            <w:tcMar>
              <w:top w:w="85" w:type="dxa"/>
              <w:start w:w="110" w:type="dxa"/>
              <w:bottom w:w="85" w:type="dxa"/>
              <w:end w:w="110" w:type="dxa"/>
            </w:tcMar>
            <w:vAlign w:val="center"/>
          </w:tcPr>
          <w:p>
            <w:pPr>
              <w:spacing w:after="0" w:line="240" w:lineRule="auto"/>
            </w:pPr>
            <w:r/>
            <w:r>
              <w:rPr>
                <w:rFonts w:ascii="Consolas" w:hAnsi="Consolas"/>
                <w:b w:val="0"/>
                <w:color w:val="243B53"/>
                <w:sz w:val="15"/>
              </w:rPr>
              <w:t>A plan label might determine price if a central plan catalog exists.</w:t>
            </w:r>
          </w:p>
        </w:tc>
        <w:tc>
          <w:tcPr>
            <w:tcW w:type="dxa" w:w="6768"/>
            <w:tcMar>
              <w:top w:w="85" w:type="dxa"/>
              <w:start w:w="110" w:type="dxa"/>
              <w:bottom w:w="85" w:type="dxa"/>
              <w:end w:w="110" w:type="dxa"/>
            </w:tcMar>
            <w:vAlign w:val="center"/>
          </w:tcPr>
          <w:p>
            <w:pPr>
              <w:spacing w:after="0" w:line="240" w:lineRule="auto"/>
            </w:pPr>
            <w:r/>
            <w:r>
              <w:rPr>
                <w:rFonts w:ascii="Consolas" w:hAnsi="Consolas"/>
                <w:b w:val="0"/>
                <w:color w:val="243B53"/>
                <w:sz w:val="15"/>
              </w:rPr>
              <w:t>No plan catalog or plan → price dependency is evidenced. Keep recorded amounts; do not invent a catalog.</w:t>
            </w:r>
          </w:p>
        </w:tc>
      </w:tr>
      <w:tr>
        <w:tc>
          <w:tcPr>
            <w:tcW w:type="dxa" w:w="2592"/>
            <w:tcMar>
              <w:top w:w="85" w:type="dxa"/>
              <w:start w:w="110" w:type="dxa"/>
              <w:bottom w:w="85" w:type="dxa"/>
              <w:end w:w="110" w:type="dxa"/>
            </w:tcMar>
            <w:shd w:fill="F1F5F8"/>
            <w:vAlign w:val="center"/>
          </w:tcPr>
          <w:p>
            <w:pPr>
              <w:spacing w:after="0" w:line="240" w:lineRule="auto"/>
            </w:pPr>
            <w:r/>
            <w:r>
              <w:rPr>
                <w:rFonts w:ascii="Aptos" w:hAnsi="Aptos"/>
                <w:b w:val="0"/>
                <w:color w:val="243B53"/>
                <w:sz w:val="15"/>
              </w:rPr>
              <w:t>Attendance subject</w:t>
            </w:r>
          </w:p>
        </w:tc>
        <w:tc>
          <w:tcPr>
            <w:tcW w:type="dxa" w:w="532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user_type may depend on which of member_id / guest_id is populated.</w:t>
            </w:r>
          </w:p>
        </w:tc>
        <w:tc>
          <w:tcPr>
            <w:tcW w:type="dxa" w:w="6768"/>
            <w:tcMar>
              <w:top w:w="85" w:type="dxa"/>
              <w:start w:w="110" w:type="dxa"/>
              <w:bottom w:w="85" w:type="dxa"/>
              <w:end w:w="110" w:type="dxa"/>
            </w:tcMar>
            <w:shd w:fill="F1F5F8"/>
            <w:vAlign w:val="center"/>
          </w:tcPr>
          <w:p>
            <w:pPr>
              <w:spacing w:after="0" w:line="240" w:lineRule="auto"/>
            </w:pPr>
            <w:r/>
            <w:r>
              <w:rPr>
                <w:rFonts w:ascii="Consolas" w:hAnsi="Consolas"/>
                <w:b w:val="0"/>
                <w:color w:val="243B53"/>
                <w:sz w:val="15"/>
              </w:rPr>
              <w:t>This is a polymorphic integrity rule; validate XOR and consistency. It is not evidence of a transitive dependency.</w:t>
            </w:r>
          </w:p>
        </w:tc>
      </w:tr>
    </w:tbl>
    <w:p>
      <w:pPr>
        <w:spacing w:after="60" w:line="259" w:lineRule="auto"/>
      </w:pPr>
      <w:r>
        <w:rPr>
          <w:rFonts w:ascii="Aptos" w:hAnsi="Aptos"/>
          <w:b/>
          <w:color w:val="123B5D"/>
          <w:sz w:val="24"/>
        </w:rPr>
        <w:t>Result</w:t>
      </w:r>
    </w:p>
    <w:p>
      <w:pPr>
        <w:spacing w:after="80" w:line="259" w:lineRule="auto"/>
      </w:pPr>
      <w:r>
        <w:rPr>
          <w:rFonts w:ascii="Aptos" w:hAnsi="Aptos"/>
          <w:b w:val="0"/>
          <w:color w:val="243B53"/>
          <w:sz w:val="19"/>
        </w:rPr>
        <w:t>The current relations are 3NF-oriented, but formal certification depends on verified candidate keys and functional dependencies. The available evidence does not prove a transitive dependency requiring decomposition. Snapshot fields and repeated amounts may be intentional historical facts rather than normalization defects.</w:t>
      </w:r>
    </w:p>
    <w:p>
      <w:pPr>
        <w:spacing w:after="100" w:line="259" w:lineRule="auto"/>
      </w:pPr>
      <w:r>
        <w:rPr>
          <w:rFonts w:ascii="Aptos" w:hAnsi="Aptos"/>
          <w:b/>
          <w:color w:val="087F8C"/>
          <w:sz w:val="28"/>
        </w:rPr>
        <w:t>3NF final schema — relation inventory</w:t>
      </w:r>
    </w:p>
    <w:p>
      <w:pPr>
        <w:spacing w:after="160" w:line="259" w:lineRule="auto"/>
      </w:pPr>
      <w:r>
        <w:rPr>
          <w:rFonts w:ascii="Aptos" w:hAnsi="Aptos"/>
          <w:b w:val="0"/>
          <w:color w:val="243B53"/>
          <w:sz w:val="18"/>
        </w:rPr>
        <w:t>This final schema matches the entity and attribute inventory in the accompanying ERD. The tables below are the 3NF-oriented implementation as evidenced; no speculative decomposition has been applied.</w:t>
      </w:r>
    </w:p>
    <w:p>
      <w:pPr>
        <w:pageBreakBefore w:val="0"/>
        <w:spacing w:after="60" w:line="259" w:lineRule="auto"/>
      </w:pPr>
      <w:r>
        <w:rPr>
          <w:rFonts w:ascii="Aptos" w:hAnsi="Aptos"/>
          <w:b/>
          <w:color w:val="123B5D"/>
          <w:sz w:val="48"/>
        </w:rPr>
        <w:t>3NF FINAL SCHEMA  |  ACCOUNT &amp; MEMBERSHIP</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USERS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password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phone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role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profile_photo</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APPLICATIONS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gcash_reference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payment_screenshot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rejection_reason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ACCOUNT &amp; MEMBERSHIP</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MEMBERS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registration_type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start_date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expiration_date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qr_code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paused_days_remaining</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archived_archive_id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bl>
    <w:p>
      <w:pPr>
        <w:spacing w:after="20" w:line="259" w:lineRule="auto"/>
      </w:pPr>
    </w:p>
    <w:p>
      <w:pPr>
        <w:pageBreakBefore w:val="0"/>
        <w:spacing w:after="60" w:line="259" w:lineRule="auto"/>
      </w:pPr>
      <w:r>
        <w:rPr>
          <w:rFonts w:ascii="Aptos" w:hAnsi="Aptos"/>
          <w:b/>
          <w:color w:val="123B5D"/>
          <w:sz w:val="48"/>
        </w:rPr>
        <w:t>3NF FINAL SCHEMA  |  ACCOUNT &amp; MEMBERSHIP</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MEMBER_TRANSACTIONS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application_id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gcash_reference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transaction_date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verified_by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verification_date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ACCOUNT &amp; MEMBERSHIP</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ARCHIVED_MEMBERS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original_member_id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registration_type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membership_plan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start_date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expiration_date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DATE</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qr_code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archived_at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removal_reason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restored_at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ATTENDANCE &amp; GUEST BILLING</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ATTENDANCE</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check_in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check_out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expiration_time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voided_at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GUESTS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full_name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phone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visit_type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amount_paid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hours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email</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ATTENDANCE &amp; GUEST BILLING</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GUEST_TRANSACTIONS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guest_name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visit_type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NUMERIC(10,2)</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payment_method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transaction_date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transaction_reference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attendance_id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extension_type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additional_hours</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previous_expiration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new_expiration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idempotency_key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ATTENDANCE &amp; GUEST BILLING</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GUEST_VISIT_EXTENSIONS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attendance_id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extension_type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additional_hours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amount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NUMERIC(10,2)</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payment_status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previous_expiration</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new_expiration</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transaction_reference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guest_transaction_id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idempotency_key</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TEXT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payment_date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NOTIFICATIONS &amp; AUTHENTICATION</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NOTIFICATIONS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title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message</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is_read</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BOOLEAN</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type</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VARCHAR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ADMIN_SESSIONS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NOTIFICATIONS &amp; AUTHENTICATION</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CUSTOMER_SESSIONS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spacing w:after="40" w:line="259" w:lineRule="auto"/>
      </w:pPr>
      <w:r>
        <w:rPr>
          <w:rFonts w:ascii="Aptos" w:hAnsi="Aptos"/>
          <w:b/>
          <w:color w:val="123B5D"/>
          <w:sz w:val="22"/>
        </w:rPr>
        <w:t>MEMBER_QR_TOKENS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member_id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BIGINT</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consumed_at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3NF FINAL SCHEMA  |  NOTIFICATIONS &amp; AUTHENTICATION</w:t>
      </w:r>
    </w:p>
    <w:p>
      <w:pPr>
        <w:spacing w:after="240" w:line="259" w:lineRule="auto"/>
      </w:pPr>
      <w:r>
        <w:rPr>
          <w:rFonts w:ascii="Aptos" w:hAnsi="Aptos"/>
          <w:b w:val="0"/>
          <w:color w:val="526B80"/>
          <w:sz w:val="21"/>
        </w:rPr>
        <w:t>Final relation inventory; same attributes/keys as the ERD.</w:t>
      </w:r>
    </w:p>
    <w:p>
      <w:pPr>
        <w:spacing w:after="40" w:line="259" w:lineRule="auto"/>
      </w:pPr>
      <w:r>
        <w:rPr>
          <w:rFonts w:ascii="Aptos" w:hAnsi="Aptos"/>
          <w:b/>
          <w:color w:val="123B5D"/>
          <w:sz w:val="22"/>
        </w:rPr>
        <w:t>PASSWORD_RESET_TOKENS</w:t>
      </w:r>
    </w:p>
    <w:tbl>
      <w:tblPr>
        <w:tblStyle w:val="TableGrid"/>
        <w:tblW w:type="auto" w:w="0"/>
        <w:jc w:val="center"/>
        <w:tblLayout w:type="fixed"/>
        <w:tblLook w:firstColumn="1" w:firstRow="1" w:lastColumn="0" w:lastRow="0" w:noHBand="0" w:noVBand="1" w:val="04A0"/>
      </w:tblPr>
      <w:tblGrid>
        <w:gridCol w:w="7416"/>
        <w:gridCol w:w="4680"/>
        <w:gridCol w:w="2880"/>
      </w:tblGrid>
      <w:tr>
        <w:trPr>
          <w:tblHeader w:val="true"/>
        </w:trPr>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Column</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Type</w:t>
            </w:r>
          </w:p>
        </w:tc>
        <w:tc>
          <w:tcPr>
            <w:tcW w:type="dxa" w:w="5088"/>
            <w:shd w:fill="123B5D"/>
            <w:tcMar>
              <w:top w:w="85" w:type="dxa"/>
              <w:start w:w="110" w:type="dxa"/>
              <w:bottom w:w="85" w:type="dxa"/>
              <w:end w:w="110" w:type="dxa"/>
            </w:tcMar>
            <w:vAlign w:val="center"/>
          </w:tcPr>
          <w:p>
            <w:pPr>
              <w:spacing w:after="0"/>
            </w:pPr>
            <w:r/>
            <w:r>
              <w:rPr>
                <w:rFonts w:ascii="Aptos" w:hAnsi="Aptos"/>
                <w:b/>
                <w:color w:val="FFFFFF"/>
                <w:sz w:val="16"/>
              </w:rPr>
              <w:t>Key</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PK</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user_id</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FK</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expires_at</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used_at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attempts</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INTEGER</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verified_at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vAlign w:val="center"/>
          </w:tcPr>
          <w:p>
            <w:pPr>
              <w:spacing w:after="0" w:line="240" w:lineRule="auto"/>
            </w:pPr>
            <w:r/>
            <w:r>
              <w:rPr>
                <w:rFonts w:ascii="Aptos" w:hAnsi="Aptos"/>
                <w:b w:val="0"/>
                <w:color w:val="243B53"/>
                <w:sz w:val="16"/>
              </w:rPr>
              <w:t>reset_token_hash</w:t>
            </w:r>
          </w:p>
        </w:tc>
        <w:tc>
          <w:tcPr>
            <w:tcW w:type="dxa" w:w="4680"/>
            <w:tcMar>
              <w:top w:w="85" w:type="dxa"/>
              <w:start w:w="110" w:type="dxa"/>
              <w:bottom w:w="85" w:type="dxa"/>
              <w:end w:w="110" w:type="dxa"/>
            </w:tcMar>
            <w:vAlign w:val="center"/>
          </w:tcPr>
          <w:p>
            <w:pPr>
              <w:spacing w:after="0" w:line="240" w:lineRule="auto"/>
            </w:pPr>
            <w:r/>
            <w:r>
              <w:rPr>
                <w:rFonts w:ascii="Consolas" w:hAnsi="Consolas"/>
                <w:b w:val="0"/>
                <w:color w:val="243B53"/>
                <w:sz w:val="16"/>
              </w:rPr>
              <w:t>CHAR(64)</w:t>
            </w:r>
          </w:p>
        </w:tc>
        <w:tc>
          <w:tcPr>
            <w:tcW w:type="dxa" w:w="2880"/>
            <w:tcMar>
              <w:top w:w="85" w:type="dxa"/>
              <w:start w:w="110" w:type="dxa"/>
              <w:bottom w:w="85" w:type="dxa"/>
              <w:end w:w="110" w:type="dxa"/>
            </w:tcMar>
            <w:vAlign w:val="center"/>
          </w:tcPr>
          <w:p>
            <w:pPr>
              <w:spacing w:after="0" w:line="240" w:lineRule="auto"/>
            </w:pPr>
            <w:r/>
            <w:r>
              <w:rPr>
                <w:rFonts w:ascii="Consolas" w:hAnsi="Consolas"/>
                <w:b w:val="0"/>
                <w:color w:val="243B53"/>
                <w:sz w:val="16"/>
              </w:rPr>
              <w:t>—</w:t>
            </w:r>
          </w:p>
        </w:tc>
      </w:tr>
      <w:tr>
        <w:tc>
          <w:tcPr>
            <w:tcW w:type="dxa" w:w="7416"/>
            <w:tcMar>
              <w:top w:w="85" w:type="dxa"/>
              <w:start w:w="110" w:type="dxa"/>
              <w:bottom w:w="85" w:type="dxa"/>
              <w:end w:w="110" w:type="dxa"/>
            </w:tcMar>
            <w:shd w:fill="F1F5F8"/>
            <w:vAlign w:val="center"/>
          </w:tcPr>
          <w:p>
            <w:pPr>
              <w:spacing w:after="0" w:line="240" w:lineRule="auto"/>
            </w:pPr>
            <w:r/>
            <w:r>
              <w:rPr>
                <w:rFonts w:ascii="Aptos" w:hAnsi="Aptos"/>
                <w:b w:val="0"/>
                <w:color w:val="243B53"/>
                <w:sz w:val="16"/>
              </w:rPr>
              <w:t>created_at</w:t>
            </w:r>
          </w:p>
        </w:tc>
        <w:tc>
          <w:tcPr>
            <w:tcW w:type="dxa" w:w="46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TIMESTAMPTZ</w:t>
            </w:r>
          </w:p>
        </w:tc>
        <w:tc>
          <w:tcPr>
            <w:tcW w:type="dxa" w:w="2880"/>
            <w:tcMar>
              <w:top w:w="85" w:type="dxa"/>
              <w:start w:w="110" w:type="dxa"/>
              <w:bottom w:w="85" w:type="dxa"/>
              <w:end w:w="110" w:type="dxa"/>
            </w:tcMar>
            <w:shd w:fill="F1F5F8"/>
            <w:vAlign w:val="center"/>
          </w:tcPr>
          <w:p>
            <w:pPr>
              <w:spacing w:after="0" w:line="240" w:lineRule="auto"/>
            </w:pPr>
            <w:r/>
            <w:r>
              <w:rPr>
                <w:rFonts w:ascii="Consolas" w:hAnsi="Consolas"/>
                <w:b w:val="0"/>
                <w:color w:val="243B53"/>
                <w:sz w:val="16"/>
              </w:rPr>
              <w:t>—</w:t>
            </w:r>
          </w:p>
        </w:tc>
      </w:tr>
    </w:tbl>
    <w:p>
      <w:pPr>
        <w:spacing w:after="20" w:line="259" w:lineRule="auto"/>
      </w:pPr>
    </w:p>
    <w:p>
      <w:pPr>
        <w:pageBreakBefore w:val="0"/>
        <w:spacing w:after="60" w:line="259" w:lineRule="auto"/>
      </w:pPr>
      <w:r>
        <w:rPr>
          <w:rFonts w:ascii="Aptos" w:hAnsi="Aptos"/>
          <w:b/>
          <w:color w:val="123B5D"/>
          <w:sz w:val="48"/>
        </w:rPr>
        <w:t>VALIDATION NOTES</w:t>
      </w:r>
    </w:p>
    <w:p>
      <w:pPr>
        <w:spacing w:after="240" w:line="259" w:lineRule="auto"/>
      </w:pPr>
      <w:r>
        <w:rPr>
          <w:rFonts w:ascii="Aptos" w:hAnsi="Aptos"/>
          <w:b w:val="0"/>
          <w:color w:val="526B80"/>
          <w:sz w:val="21"/>
        </w:rPr>
        <w:t>Consistency, limits, and checks to perform against PostgreSQL.</w:t>
      </w:r>
    </w:p>
    <w:tbl>
      <w:tblPr>
        <w:tblStyle w:val="TableGrid"/>
        <w:tblW w:type="auto" w:w="0"/>
        <w:jc w:val="center"/>
        <w:tblLayout w:type="fixed"/>
        <w:tblLook w:firstColumn="1" w:firstRow="1" w:lastColumn="0" w:lastRow="0" w:noHBand="0" w:noVBand="1" w:val="04A0"/>
      </w:tblPr>
      <w:tblGrid>
        <w:gridCol w:w="3024"/>
        <w:gridCol w:w="11664"/>
      </w:tblGrid>
      <w:tr>
        <w:trPr>
          <w:tblHeader w:val="true"/>
        </w:trPr>
        <w:tc>
          <w:tcPr>
            <w:tcW w:type="dxa" w:w="7632"/>
            <w:shd w:fill="123B5D"/>
            <w:tcMar>
              <w:top w:w="85" w:type="dxa"/>
              <w:start w:w="110" w:type="dxa"/>
              <w:bottom w:w="85" w:type="dxa"/>
              <w:end w:w="110" w:type="dxa"/>
            </w:tcMar>
            <w:vAlign w:val="center"/>
          </w:tcPr>
          <w:p>
            <w:pPr>
              <w:spacing w:after="0"/>
            </w:pPr>
            <w:r/>
            <w:r>
              <w:rPr>
                <w:rFonts w:ascii="Aptos" w:hAnsi="Aptos"/>
                <w:b/>
                <w:color w:val="FFFFFF"/>
                <w:sz w:val="17"/>
              </w:rPr>
              <w:t>Check</w:t>
            </w:r>
          </w:p>
        </w:tc>
        <w:tc>
          <w:tcPr>
            <w:tcW w:type="dxa" w:w="7632"/>
            <w:shd w:fill="123B5D"/>
            <w:tcMar>
              <w:top w:w="85" w:type="dxa"/>
              <w:start w:w="110" w:type="dxa"/>
              <w:bottom w:w="85" w:type="dxa"/>
              <w:end w:w="110" w:type="dxa"/>
            </w:tcMar>
            <w:vAlign w:val="center"/>
          </w:tcPr>
          <w:p>
            <w:pPr>
              <w:spacing w:after="0"/>
            </w:pPr>
            <w:r/>
            <w:r>
              <w:rPr>
                <w:rFonts w:ascii="Aptos" w:hAnsi="Aptos"/>
                <w:b/>
                <w:color w:val="FFFFFF"/>
                <w:sz w:val="17"/>
              </w:rPr>
              <w:t>Current evidence / next validation</w:t>
            </w:r>
          </w:p>
        </w:tc>
      </w:tr>
      <w:tr>
        <w:tc>
          <w:tcPr>
            <w:tcW w:type="dxa" w:w="3024"/>
            <w:tcMar>
              <w:top w:w="85" w:type="dxa"/>
              <w:start w:w="110" w:type="dxa"/>
              <w:bottom w:w="85" w:type="dxa"/>
              <w:end w:w="110" w:type="dxa"/>
            </w:tcMar>
            <w:vAlign w:val="center"/>
          </w:tcPr>
          <w:p>
            <w:pPr>
              <w:spacing w:after="0" w:line="240" w:lineRule="auto"/>
            </w:pPr>
            <w:r/>
            <w:r>
              <w:rPr>
                <w:rFonts w:ascii="Aptos" w:hAnsi="Aptos"/>
                <w:b w:val="0"/>
                <w:color w:val="243B53"/>
                <w:sz w:val="17"/>
              </w:rPr>
              <w:t>ERD consistency</w:t>
            </w:r>
          </w:p>
        </w:tc>
        <w:tc>
          <w:tcPr>
            <w:tcW w:type="dxa" w:w="11664"/>
            <w:tcMar>
              <w:top w:w="85" w:type="dxa"/>
              <w:start w:w="110" w:type="dxa"/>
              <w:bottom w:w="85" w:type="dxa"/>
              <w:end w:w="110" w:type="dxa"/>
            </w:tcMar>
            <w:vAlign w:val="center"/>
          </w:tcPr>
          <w:p>
            <w:pPr>
              <w:spacing w:after="0" w:line="240" w:lineRule="auto"/>
            </w:pPr>
            <w:r/>
            <w:r>
              <w:rPr>
                <w:rFonts w:ascii="Aptos" w:hAnsi="Aptos"/>
                <w:b w:val="0"/>
                <w:color w:val="243B53"/>
                <w:sz w:val="17"/>
              </w:rPr>
              <w:t>Fourteen final relations and the attributes/keys shown in this document match the accompanying ERD.</w:t>
            </w:r>
          </w:p>
        </w:tc>
      </w:tr>
      <w:tr>
        <w:tc>
          <w:tcPr>
            <w:tcW w:type="dxa" w:w="302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Physical keys</w:t>
            </w:r>
          </w:p>
        </w:tc>
        <w:tc>
          <w:tcPr>
            <w:tcW w:type="dxa" w:w="1166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Verify primary keys and all candidate/unique keys in the live PostgreSQL catalog; a generated identifier is not proof of a PK.</w:t>
            </w:r>
          </w:p>
        </w:tc>
      </w:tr>
      <w:tr>
        <w:tc>
          <w:tcPr>
            <w:tcW w:type="dxa" w:w="3024"/>
            <w:tcMar>
              <w:top w:w="85" w:type="dxa"/>
              <w:start w:w="110" w:type="dxa"/>
              <w:bottom w:w="85" w:type="dxa"/>
              <w:end w:w="110" w:type="dxa"/>
            </w:tcMar>
            <w:vAlign w:val="center"/>
          </w:tcPr>
          <w:p>
            <w:pPr>
              <w:spacing w:after="0" w:line="240" w:lineRule="auto"/>
            </w:pPr>
            <w:r/>
            <w:r>
              <w:rPr>
                <w:rFonts w:ascii="Aptos" w:hAnsi="Aptos"/>
                <w:b w:val="0"/>
                <w:color w:val="243B53"/>
                <w:sz w:val="17"/>
              </w:rPr>
              <w:t>Foreign keys</w:t>
            </w:r>
          </w:p>
        </w:tc>
        <w:tc>
          <w:tcPr>
            <w:tcW w:type="dxa" w:w="11664"/>
            <w:tcMar>
              <w:top w:w="85" w:type="dxa"/>
              <w:start w:w="110" w:type="dxa"/>
              <w:bottom w:w="85" w:type="dxa"/>
              <w:end w:w="110" w:type="dxa"/>
            </w:tcMar>
            <w:vAlign w:val="center"/>
          </w:tcPr>
          <w:p>
            <w:pPr>
              <w:spacing w:after="0" w:line="240" w:lineRule="auto"/>
            </w:pPr>
            <w:r/>
            <w:r>
              <w:rPr>
                <w:rFonts w:ascii="Aptos" w:hAnsi="Aptos"/>
                <w:b w:val="0"/>
                <w:color w:val="243B53"/>
                <w:sz w:val="17"/>
              </w:rPr>
              <w:t>Backend setup explicitly declares cascading FKs for admin_sessions.user_id, customer_sessions.user_id, password_reset_tokens.user_id, and member_qr_tokens.member_id. Other links are logical/application references unless catalog inspection proves otherwise.</w:t>
            </w:r>
          </w:p>
        </w:tc>
      </w:tr>
      <w:tr>
        <w:tc>
          <w:tcPr>
            <w:tcW w:type="dxa" w:w="302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Attendance XOR</w:t>
            </w:r>
          </w:p>
        </w:tc>
        <w:tc>
          <w:tcPr>
            <w:tcW w:type="dxa" w:w="1166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Validate exactly one of member_id and guest_id is populated and that it agrees with user_type.</w:t>
            </w:r>
          </w:p>
        </w:tc>
      </w:tr>
      <w:tr>
        <w:tc>
          <w:tcPr>
            <w:tcW w:type="dxa" w:w="3024"/>
            <w:tcMar>
              <w:top w:w="85" w:type="dxa"/>
              <w:start w:w="110" w:type="dxa"/>
              <w:bottom w:w="85" w:type="dxa"/>
              <w:end w:w="110" w:type="dxa"/>
            </w:tcMar>
            <w:vAlign w:val="center"/>
          </w:tcPr>
          <w:p>
            <w:pPr>
              <w:spacing w:after="0" w:line="240" w:lineRule="auto"/>
            </w:pPr>
            <w:r/>
            <w:r>
              <w:rPr>
                <w:rFonts w:ascii="Aptos" w:hAnsi="Aptos"/>
                <w:b w:val="0"/>
                <w:color w:val="243B53"/>
                <w:sz w:val="17"/>
              </w:rPr>
              <w:t>Application payment uniqueness</w:t>
            </w:r>
          </w:p>
        </w:tc>
        <w:tc>
          <w:tcPr>
            <w:tcW w:type="dxa" w:w="11664"/>
            <w:tcMar>
              <w:top w:w="85" w:type="dxa"/>
              <w:start w:w="110" w:type="dxa"/>
              <w:bottom w:w="85" w:type="dxa"/>
              <w:end w:w="110" w:type="dxa"/>
            </w:tcMar>
            <w:vAlign w:val="center"/>
          </w:tcPr>
          <w:p>
            <w:pPr>
              <w:spacing w:after="0" w:line="240" w:lineRule="auto"/>
            </w:pPr>
            <w:r/>
            <w:r>
              <w:rPr>
                <w:rFonts w:ascii="Aptos" w:hAnsi="Aptos"/>
                <w:b w:val="0"/>
                <w:color w:val="243B53"/>
                <w:sz w:val="17"/>
              </w:rPr>
              <w:t>Application approval checks duplicate member_transactions rows in code; verify whether application_id has a unique constraint/index.</w:t>
            </w:r>
          </w:p>
        </w:tc>
      </w:tr>
      <w:tr>
        <w:tc>
          <w:tcPr>
            <w:tcW w:type="dxa" w:w="302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Snapshots</w:t>
            </w:r>
          </w:p>
        </w:tc>
        <w:tc>
          <w:tcPr>
            <w:tcW w:type="dxa" w:w="11664"/>
            <w:tcMar>
              <w:top w:w="85" w:type="dxa"/>
              <w:start w:w="110" w:type="dxa"/>
              <w:bottom w:w="85" w:type="dxa"/>
              <w:end w:w="110" w:type="dxa"/>
            </w:tcMar>
            <w:shd w:fill="F1F5F8"/>
            <w:vAlign w:val="center"/>
          </w:tcPr>
          <w:p>
            <w:pPr>
              <w:spacing w:after="0" w:line="240" w:lineRule="auto"/>
            </w:pPr>
            <w:r/>
            <w:r>
              <w:rPr>
                <w:rFonts w:ascii="Aptos" w:hAnsi="Aptos"/>
                <w:b w:val="0"/>
                <w:color w:val="243B53"/>
                <w:sz w:val="17"/>
              </w:rPr>
              <w:t>Confirm the business meaning and retention requirements for archived_members copied facts and guest_transactions guest_name/visit_type.</w:t>
            </w:r>
          </w:p>
        </w:tc>
      </w:tr>
      <w:tr>
        <w:tc>
          <w:tcPr>
            <w:tcW w:type="dxa" w:w="3024"/>
            <w:tcMar>
              <w:top w:w="85" w:type="dxa"/>
              <w:start w:w="110" w:type="dxa"/>
              <w:bottom w:w="85" w:type="dxa"/>
              <w:end w:w="110" w:type="dxa"/>
            </w:tcMar>
            <w:vAlign w:val="center"/>
          </w:tcPr>
          <w:p>
            <w:pPr>
              <w:spacing w:after="0" w:line="240" w:lineRule="auto"/>
            </w:pPr>
            <w:r/>
            <w:r>
              <w:rPr>
                <w:rFonts w:ascii="Aptos" w:hAnsi="Aptos"/>
                <w:b w:val="0"/>
                <w:color w:val="243B53"/>
                <w:sz w:val="17"/>
              </w:rPr>
              <w:t>No database changes</w:t>
            </w:r>
          </w:p>
        </w:tc>
        <w:tc>
          <w:tcPr>
            <w:tcW w:type="dxa" w:w="11664"/>
            <w:tcMar>
              <w:top w:w="85" w:type="dxa"/>
              <w:start w:w="110" w:type="dxa"/>
              <w:bottom w:w="85" w:type="dxa"/>
              <w:end w:w="110" w:type="dxa"/>
            </w:tcMar>
            <w:vAlign w:val="center"/>
          </w:tcPr>
          <w:p>
            <w:pPr>
              <w:spacing w:after="0" w:line="240" w:lineRule="auto"/>
            </w:pPr>
            <w:r/>
            <w:r>
              <w:rPr>
                <w:rFonts w:ascii="Aptos" w:hAnsi="Aptos"/>
                <w:b w:val="0"/>
                <w:color w:val="243B53"/>
                <w:sz w:val="17"/>
              </w:rPr>
              <w:t>This deliverable documents the existing implementation; it does not alter schema or application behavior.</w:t>
            </w:r>
          </w:p>
        </w:tc>
      </w:tr>
    </w:tbl>
    <w:sectPr w:rsidR="00FC693F" w:rsidRPr="0006063C" w:rsidSect="00034616">
      <w:footerReference w:type="default" r:id="rId9"/>
      <w:pgSz w:w="16848" w:h="11952" w:orient="landscape"/>
      <w:pgMar w:top="749" w:right="792" w:bottom="74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0758A"/>
        <w:sz w:val="16"/>
      </w:rPr>
      <w:t xml:space="preserve">ANCHOR GYM SYSTEM  •  DATABASE NORMALIZATION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Gym System — Database Normalization</dc:title>
  <dc:subject>UNF, 1NF, 2NF, 3NF analysis and final relation inventory</dc:subject>
  <dc:creator>ANCHOR Gym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