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rPr>
          <w:rFonts w:ascii="Arial" w:cs="Arial" w:eastAsia="Arial" w:hAnsi="Arial"/>
          <w:color w:val="404040"/>
          <w:sz w:val="18"/>
          <w:szCs w:val="18"/>
        </w:rPr>
        <w:t xml:space="preserve"/>
      </w:r>
    </w:p>
    <w:tbl>
      <w:tblPr>
        <w:tblW w:type="dxa" w:w="7200"/>
        <w:tblBorders>
          <w:top w:val="none"/>
          <w:left w:val="none"/>
          <w:bottom w:val="none"/>
          <w:right w:val="none"/>
          <w:insideH w:val="single" w:color="auto" w:sz="4"/>
          <w:insideV w:val="single" w:color="auto" w:sz="4"/>
        </w:tblBorders>
      </w:tblPr>
      <w:tblGrid>
        <w:gridCol w:w="100"/>
      </w:tblGrid>
      <w:tr>
        <w:tc>
          <w:tcPr>
            <w:tcBorders>
              <w:top w:val="single" w:color="1F3864" w:sz="8"/>
              <w:left w:val="none"/>
              <w:bottom w:val="single" w:color="1F3864" w:sz="8"/>
              <w:right w:val="none"/>
            </w:tcBorders>
            <w:shd w:fill="D6E4F0" w:val="clear"/>
            <w:tcMar>
              <w:top w:type="dxa" w:w="220"/>
              <w:left w:type="dxa" w:w="440"/>
              <w:bottom w:type="dxa" w:w="220"/>
              <w:right w:type="dxa" w:w="440"/>
            </w:tcMar>
          </w:tcPr>
          <w:p>
            <w:pPr>
              <w:jc w:val="center"/>
            </w:pPr>
            <w:r>
              <w:rPr>
                <w:rFonts w:ascii="Arial" w:cs="Arial" w:eastAsia="Arial" w:hAnsi="Arial"/>
                <w:b/>
                <w:bCs/>
                <w:color w:val="1F3864"/>
                <w:sz w:val="72"/>
                <w:szCs w:val="72"/>
              </w:rPr>
              <w:t xml:space="preserve">MERDIAN</w:t>
            </w:r>
          </w:p>
          <w:p>
            <w:pPr>
              <w:spacing w:before="50" w:after="30"/>
              <w:jc w:val="center"/>
            </w:pPr>
            <w:r>
              <w:rPr>
                <w:rFonts w:ascii="Arial" w:cs="Arial" w:eastAsia="Arial" w:hAnsi="Arial"/>
                <w:color w:val="2E5F8A"/>
                <w:sz w:val="24"/>
                <w:szCs w:val="24"/>
              </w:rPr>
              <w:t xml:space="preserve">Market Structure Intelligence Engine</w:t>
            </w:r>
          </w:p>
          <w:p>
            <w:pPr>
              <w:spacing w:before="20" w:after="50"/>
              <w:jc w:val="center"/>
            </w:pPr>
            <w:r>
              <w:rPr>
                <w:rFonts w:ascii="Arial" w:cs="Arial" w:eastAsia="Arial" w:hAnsi="Arial"/>
                <w:b/>
                <w:bCs/>
                <w:color w:val="1F3864"/>
                <w:sz w:val="38"/>
                <w:szCs w:val="38"/>
              </w:rPr>
              <w:t xml:space="preserve">APPENDIX 16B</w:t>
            </w:r>
          </w:p>
          <w:p>
            <w:pPr>
              <w:spacing w:before="20" w:after="20"/>
              <w:jc w:val="center"/>
            </w:pPr>
            <w:r>
              <w:rPr>
                <w:rFonts w:ascii="Arial" w:cs="Arial" w:eastAsia="Arial" w:hAnsi="Arial"/>
                <w:color w:val="595959"/>
                <w:sz w:val="18"/>
                <w:szCs w:val="18"/>
              </w:rPr>
              <w:t xml:space="preserve">WCB Persistence Repair · Market-State Enrichment Repair · Signal Confidence Recalibration</w:t>
            </w:r>
          </w:p>
        </w:tc>
      </w:tr>
    </w:tbl>
    <w:p>
      <w:pPr>
        <w:spacing w:before="280" w:after="0"/>
      </w:pPr>
      <w:r>
        <w:rPr>
          <w:rFonts w:ascii="Arial" w:cs="Arial" w:eastAsia="Arial" w:hAnsi="Arial"/>
          <w:color w:val="404040"/>
          <w:sz w:val="18"/>
          <w:szCs w:val="18"/>
        </w:rPr>
        <w:t xml:space="preserve"/>
      </w:r>
    </w:p>
    <w:tbl>
      <w:tblPr>
        <w:tblW w:type="dxa" w:w="7200"/>
        <w:tblBorders>
          <w:top w:val="none"/>
          <w:left w:val="none"/>
          <w:bottom w:val="none"/>
          <w:right w:val="none"/>
          <w:insideH w:val="single" w:color="auto" w:sz="4"/>
          <w:insideV w:val="single" w:color="auto" w:sz="4"/>
        </w:tblBorders>
      </w:tblPr>
      <w:tblGrid>
        <w:gridCol w:w="100"/>
        <w:gridCol w:w="100"/>
      </w:tblGrid>
      <w:tr>
        <w:tc>
          <w:tcPr>
            <w:tcW w:type="dxa" w:w="22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7"/>
                <w:szCs w:val="17"/>
              </w:rPr>
              <w:t xml:space="preserve">Project</w:t>
            </w:r>
          </w:p>
        </w:tc>
        <w:tc>
          <w:tcPr>
            <w:tcW w:type="dxa" w:w="5000"/>
            <w:tcBorders>
              <w:top w:val="single" w:color="CCCCCC" w:sz="4"/>
              <w:left w:val="single" w:color="CCCCCC" w:sz="4"/>
              <w:bottom w:val="single" w:color="CCCCCC" w:sz="4"/>
              <w:right w:val="single" w:color="CCCCCC" w:sz="4"/>
            </w:tcBorders>
            <w:tcMar>
              <w:top w:type="dxa" w:w="55"/>
              <w:left w:type="dxa" w:w="110"/>
              <w:bottom w:type="dxa" w:w="55"/>
              <w:right w:type="dxa" w:w="110"/>
            </w:tcMar>
          </w:tcPr>
          <w:p>
            <w:r>
              <w:rPr>
                <w:rFonts w:ascii="Arial" w:cs="Arial" w:eastAsia="Arial" w:hAnsi="Arial"/>
                <w:color w:val="404040"/>
                <w:sz w:val="17"/>
                <w:szCs w:val="17"/>
              </w:rPr>
              <w:t xml:space="preserve">MERDIAN Market Structure Intelligence Engine</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7"/>
                <w:szCs w:val="17"/>
              </w:rPr>
              <w:t xml:space="preserve">Parent Documents</w:t>
            </w:r>
          </w:p>
        </w:tc>
        <w:tc>
          <w:tcPr>
            <w:tcW w:type="dxa" w:w="5000"/>
            <w:tcBorders>
              <w:top w:val="single" w:color="CCCCCC" w:sz="4"/>
              <w:left w:val="single" w:color="CCCCCC" w:sz="4"/>
              <w:bottom w:val="single" w:color="CCCCCC" w:sz="4"/>
              <w:right w:val="single" w:color="CCCCCC" w:sz="4"/>
            </w:tcBorders>
            <w:tcMar>
              <w:top w:type="dxa" w:w="55"/>
              <w:left w:type="dxa" w:w="110"/>
              <w:bottom w:type="dxa" w:w="55"/>
              <w:right w:type="dxa" w:w="110"/>
            </w:tcMar>
          </w:tcPr>
          <w:p>
            <w:r>
              <w:rPr>
                <w:rFonts w:ascii="Arial" w:cs="Arial" w:eastAsia="Arial" w:hAnsi="Arial"/>
                <w:color w:val="404040"/>
                <w:sz w:val="17"/>
                <w:szCs w:val="17"/>
              </w:rPr>
              <w:t xml:space="preserve">Integrated Master V16, Appendix H v2</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7"/>
                <w:szCs w:val="17"/>
              </w:rPr>
              <w:t xml:space="preserve">Current Appendix</w:t>
            </w:r>
          </w:p>
        </w:tc>
        <w:tc>
          <w:tcPr>
            <w:tcW w:type="dxa" w:w="5000"/>
            <w:tcBorders>
              <w:top w:val="single" w:color="CCCCCC" w:sz="4"/>
              <w:left w:val="single" w:color="CCCCCC" w:sz="4"/>
              <w:bottom w:val="single" w:color="CCCCCC" w:sz="4"/>
              <w:right w:val="single" w:color="CCCCCC" w:sz="4"/>
            </w:tcBorders>
            <w:tcMar>
              <w:top w:type="dxa" w:w="55"/>
              <w:left w:type="dxa" w:w="110"/>
              <w:bottom w:type="dxa" w:w="55"/>
              <w:right w:type="dxa" w:w="110"/>
            </w:tcMar>
          </w:tcPr>
          <w:p>
            <w:r>
              <w:rPr>
                <w:rFonts w:ascii="Arial" w:cs="Arial" w:eastAsia="Arial" w:hAnsi="Arial"/>
                <w:color w:val="404040"/>
                <w:sz w:val="17"/>
                <w:szCs w:val="17"/>
              </w:rPr>
              <w:t xml:space="preserve">Appendix 16B</w:t>
            </w:r>
          </w:p>
        </w:tc>
      </w:tr>
      <w:tr>
        <w:tc>
          <w:tcPr>
            <w:tcW w:type="dxa" w:w="22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7"/>
                <w:szCs w:val="17"/>
              </w:rPr>
              <w:t xml:space="preserve">Supersedes</w:t>
            </w:r>
          </w:p>
        </w:tc>
        <w:tc>
          <w:tcPr>
            <w:tcW w:type="dxa" w:w="5000"/>
            <w:tcBorders>
              <w:top w:val="single" w:color="CCCCCC" w:sz="4"/>
              <w:left w:val="single" w:color="CCCCCC" w:sz="4"/>
              <w:bottom w:val="single" w:color="CCCCCC" w:sz="4"/>
              <w:right w:val="single" w:color="CCCCCC" w:sz="4"/>
            </w:tcBorders>
            <w:tcMar>
              <w:top w:type="dxa" w:w="55"/>
              <w:left w:type="dxa" w:w="110"/>
              <w:bottom w:type="dxa" w:w="55"/>
              <w:right w:type="dxa" w:w="110"/>
            </w:tcMar>
          </w:tcPr>
          <w:p>
            <w:r>
              <w:rPr>
                <w:rFonts w:ascii="Arial" w:cs="Arial" w:eastAsia="Arial" w:hAnsi="Arial"/>
                <w:color w:val="404040"/>
                <w:sz w:val="17"/>
                <w:szCs w:val="17"/>
              </w:rPr>
              <w:t xml:space="preserve">No prior 16B version — first full session appendix for this development block</w:t>
            </w:r>
          </w:p>
        </w:tc>
      </w:tr>
    </w:tbl>
    <w:p>
      <w:pPr>
        <w:spacing w:before="400" w:after="0"/>
      </w:pPr>
      <w:r>
        <w:rPr>
          <w:rFonts w:ascii="Arial" w:cs="Arial" w:eastAsia="Arial" w:hAnsi="Arial"/>
          <w:color w:val="404040"/>
          <w:sz w:val="18"/>
          <w:szCs w:val="18"/>
        </w:rPr>
        <w:t xml:space="preserve"/>
      </w:r>
    </w:p>
    <w:p>
      <w:pPr>
        <w:pBdr>
          <w:bottom w:val="single" w:color="1F3864" w:sz="6" w:space="2"/>
        </w:pBdr>
        <w:spacing w:before="300" w:after="80"/>
      </w:pPr>
      <w:r>
        <w:rPr>
          <w:rFonts w:ascii="Arial" w:cs="Arial" w:eastAsia="Arial" w:hAnsi="Arial"/>
          <w:b/>
          <w:bCs/>
          <w:color w:val="1F3864"/>
          <w:sz w:val="26"/>
          <w:szCs w:val="26"/>
        </w:rPr>
        <w:t xml:space="preserve">1. Purpose of This Appendix</w:t>
      </w:r>
    </w:p>
    <w:p>
      <w:pPr>
        <w:spacing w:before="55" w:after="55"/>
      </w:pPr>
      <w:r>
        <w:rPr>
          <w:rFonts w:ascii="Arial" w:cs="Arial" w:eastAsia="Arial" w:hAnsi="Arial"/>
          <w:color w:val="404040"/>
          <w:sz w:val="18"/>
          <w:szCs w:val="18"/>
        </w:rPr>
        <w:t xml:space="preserve">This appendix documents the full development session in which MERDIAN's WCB propagation into market_state_snapshots and signal_snapshots was repaired, symbol-selection logic for WCB rows was corrected, momentum regime persistence into market state was validated, and the Signal Engine confidence model was reworked from an over-penalized low-confidence output to a two-layer conviction-minus-execution-penalty framework.</w:t>
      </w:r>
    </w:p>
    <w:p>
      <w:pPr>
        <w:spacing w:before="4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1.1  Primary Session Objective</w:t>
      </w:r>
    </w:p>
    <w:p>
      <w:pPr>
        <w:pBdr>
          <w:left w:val="single" w:color="2E75B6" w:sz="12" w:space="10"/>
        </w:pBdr>
        <w:spacing w:before="70" w:after="70"/>
        <w:ind w:left="640"/>
      </w:pPr>
      <w:r>
        <w:rPr>
          <w:rFonts w:ascii="Arial" w:cs="Arial" w:eastAsia="Arial" w:hAnsi="Arial"/>
          <w:i/>
          <w:iCs/>
          <w:color w:val="1F3864"/>
          <w:sz w:val="18"/>
          <w:szCs w:val="18"/>
        </w:rPr>
        <w:t xml:space="preserve">Repair WCB integration so that the correct index-specific WCB row and weight coverage propagate reliably from weighted_constituent_breadth_snapshots into market_state_snapshots and then into signal_snapshots.</w:t>
      </w:r>
    </w:p>
    <w:p>
      <w:pPr>
        <w:spacing w:before="4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1.2  Secondary Items Completed During the Session</w:t>
      </w:r>
    </w:p>
    <w:p>
      <w:pPr>
        <w:spacing w:before="55" w:after="55"/>
      </w:pPr>
      <w:r>
        <w:rPr>
          <w:rFonts w:ascii="Arial" w:cs="Arial" w:eastAsia="Arial" w:hAnsi="Arial"/>
          <w:color w:val="404040"/>
          <w:sz w:val="18"/>
          <w:szCs w:val="18"/>
        </w:rPr>
        <w:t xml:space="preserve">These were not the original headline objective, but were completed and must be carried forward:</w:t>
      </w:r>
    </w:p>
    <w:p>
      <w:pPr>
        <w:pStyle w:val="ListParagraph"/>
        <w:numPr>
          <w:ilvl w:val="0"/>
          <w:numId w:val="2"/>
        </w:numPr>
        <w:spacing w:before="35" w:after="35"/>
      </w:pPr>
      <w:r>
        <w:rPr>
          <w:rFonts w:ascii="Arial" w:cs="Arial" w:eastAsia="Arial" w:hAnsi="Arial"/>
          <w:b w:val="false"/>
          <w:bCs w:val="false"/>
          <w:color w:val="404040"/>
          <w:sz w:val="18"/>
          <w:szCs w:val="18"/>
        </w:rPr>
        <w:t xml:space="preserve">Corrected WCB row selection logic after discovery that weighted_constituent_breadth_snapshots uses index_symbol, not symbol</w:t>
      </w:r>
    </w:p>
    <w:p>
      <w:pPr>
        <w:pStyle w:val="ListParagraph"/>
        <w:numPr>
          <w:ilvl w:val="0"/>
          <w:numId w:val="2"/>
        </w:numPr>
        <w:spacing w:before="35" w:after="35"/>
      </w:pPr>
      <w:r>
        <w:rPr>
          <w:rFonts w:ascii="Arial" w:cs="Arial" w:eastAsia="Arial" w:hAnsi="Arial"/>
          <w:b w:val="false"/>
          <w:bCs w:val="false"/>
          <w:color w:val="404040"/>
          <w:sz w:val="18"/>
          <w:szCs w:val="18"/>
        </w:rPr>
        <w:t xml:space="preserve">Added resilient fallback selection logic using index_symbol, alternate symbol-like keys, and constituent_count</w:t>
      </w:r>
    </w:p>
    <w:p>
      <w:pPr>
        <w:pStyle w:val="ListParagraph"/>
        <w:numPr>
          <w:ilvl w:val="0"/>
          <w:numId w:val="2"/>
        </w:numPr>
        <w:spacing w:before="35" w:after="35"/>
      </w:pPr>
      <w:r>
        <w:rPr>
          <w:rFonts w:ascii="Arial" w:cs="Arial" w:eastAsia="Arial" w:hAnsi="Arial"/>
          <w:b w:val="false"/>
          <w:bCs w:val="false"/>
          <w:color w:val="404040"/>
          <w:sz w:val="18"/>
          <w:szCs w:val="18"/>
        </w:rPr>
        <w:t xml:space="preserve">Restored / validated persisted momentum_regime = DOWN flow into market_state_snapshots</w:t>
      </w:r>
    </w:p>
    <w:p>
      <w:pPr>
        <w:pStyle w:val="ListParagraph"/>
        <w:numPr>
          <w:ilvl w:val="0"/>
          <w:numId w:val="2"/>
        </w:numPr>
        <w:spacing w:before="35" w:after="35"/>
      </w:pPr>
      <w:r>
        <w:rPr>
          <w:rFonts w:ascii="Arial" w:cs="Arial" w:eastAsia="Arial" w:hAnsi="Arial"/>
          <w:b w:val="false"/>
          <w:bCs w:val="false"/>
          <w:color w:val="404040"/>
          <w:sz w:val="18"/>
          <w:szCs w:val="18"/>
        </w:rPr>
        <w:t xml:space="preserve">Recomputed flip_distance_pct directly in market state where absent upstream</w:t>
      </w:r>
    </w:p>
    <w:p>
      <w:pPr>
        <w:pStyle w:val="ListParagraph"/>
        <w:numPr>
          <w:ilvl w:val="0"/>
          <w:numId w:val="2"/>
        </w:numPr>
        <w:spacing w:before="35" w:after="35"/>
      </w:pPr>
      <w:r>
        <w:rPr>
          <w:rFonts w:ascii="Arial" w:cs="Arial" w:eastAsia="Arial" w:hAnsi="Arial"/>
          <w:b w:val="false"/>
          <w:bCs w:val="false"/>
          <w:color w:val="404040"/>
          <w:sz w:val="18"/>
          <w:szCs w:val="18"/>
        </w:rPr>
        <w:t xml:space="preserve">Identified and fixed the specific reason weight_coverage_pct was coming through as null</w:t>
      </w:r>
    </w:p>
    <w:p>
      <w:pPr>
        <w:pStyle w:val="ListParagraph"/>
        <w:numPr>
          <w:ilvl w:val="0"/>
          <w:numId w:val="2"/>
        </w:numPr>
        <w:spacing w:before="35" w:after="35"/>
      </w:pPr>
      <w:r>
        <w:rPr>
          <w:rFonts w:ascii="Arial" w:cs="Arial" w:eastAsia="Arial" w:hAnsi="Arial"/>
          <w:b w:val="false"/>
          <w:bCs w:val="false"/>
          <w:color w:val="404040"/>
          <w:sz w:val="18"/>
          <w:szCs w:val="18"/>
        </w:rPr>
        <w:t xml:space="preserve">Verified latest signal_snapshots now persist wcb_weight_coverage_pct</w:t>
      </w:r>
    </w:p>
    <w:p>
      <w:pPr>
        <w:pStyle w:val="ListParagraph"/>
        <w:numPr>
          <w:ilvl w:val="0"/>
          <w:numId w:val="2"/>
        </w:numPr>
        <w:spacing w:before="35" w:after="35"/>
      </w:pPr>
      <w:r>
        <w:rPr>
          <w:rFonts w:ascii="Arial" w:cs="Arial" w:eastAsia="Arial" w:hAnsi="Arial"/>
          <w:b w:val="false"/>
          <w:bCs w:val="false"/>
          <w:color w:val="404040"/>
          <w:sz w:val="18"/>
          <w:szCs w:val="18"/>
        </w:rPr>
        <w:t xml:space="preserve">Reworked signal confidence scoring after initial implementation produced implausibly low scores despite very strong directional alignment</w:t>
      </w:r>
    </w:p>
    <w:p>
      <w:pPr>
        <w:pStyle w:val="ListParagraph"/>
        <w:numPr>
          <w:ilvl w:val="0"/>
          <w:numId w:val="2"/>
        </w:numPr>
        <w:spacing w:before="35" w:after="35"/>
      </w:pPr>
      <w:r>
        <w:rPr>
          <w:rFonts w:ascii="Arial" w:cs="Arial" w:eastAsia="Arial" w:hAnsi="Arial"/>
          <w:b w:val="false"/>
          <w:bCs w:val="false"/>
          <w:color w:val="404040"/>
          <w:sz w:val="18"/>
          <w:szCs w:val="18"/>
        </w:rPr>
        <w:t xml:space="preserve">Introduced debug decomposition of confidence into conviction_score_debug and execution_penalty_debug</w:t>
      </w:r>
    </w:p>
    <w:p>
      <w:pPr>
        <w:pStyle w:val="ListParagraph"/>
        <w:numPr>
          <w:ilvl w:val="0"/>
          <w:numId w:val="2"/>
        </w:numPr>
        <w:spacing w:before="35" w:after="35"/>
      </w:pPr>
      <w:r>
        <w:rPr>
          <w:rFonts w:ascii="Arial" w:cs="Arial" w:eastAsia="Arial" w:hAnsi="Arial"/>
          <w:b w:val="false"/>
          <w:bCs w:val="false"/>
          <w:color w:val="404040"/>
          <w:sz w:val="18"/>
          <w:szCs w:val="18"/>
        </w:rPr>
        <w:t xml:space="preserve">Confirmed end-state — NIFTY wcb_weight_coverage_pct = 98.86550000000011  |  SENSEX wcb_weight_coverage_pct = 98.27399999999989</w:t>
      </w:r>
    </w:p>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2. Scope Boundary — Before / After</w:t>
      </w:r>
    </w:p>
    <w:p>
      <w:pPr>
        <w:spacing w:before="220" w:after="50"/>
      </w:pPr>
      <w:r>
        <w:rPr>
          <w:rFonts w:ascii="Arial" w:cs="Arial" w:eastAsia="Arial" w:hAnsi="Arial"/>
          <w:b/>
          <w:bCs/>
          <w:color w:val="2E75B6"/>
          <w:sz w:val="20"/>
          <w:szCs w:val="20"/>
        </w:rPr>
        <w:t xml:space="preserve">2.1  What Existed Before This Session</w:t>
      </w:r>
    </w:p>
    <w:p>
      <w:pPr>
        <w:spacing w:before="55" w:after="55"/>
      </w:pPr>
      <w:r>
        <w:rPr>
          <w:rFonts w:ascii="Arial" w:cs="Arial" w:eastAsia="Arial" w:hAnsi="Arial"/>
          <w:color w:val="404040"/>
          <w:sz w:val="18"/>
          <w:szCs w:val="18"/>
        </w:rPr>
        <w:t xml:space="preserve">The following already existed before this session: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840"/>
      </w:tblGrid>
      <w:tr>
        <w:tc>
          <w:tcPr>
            <w:tcW w:type="dxa" w:w="3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Component</w:t>
            </w:r>
          </w:p>
        </w:tc>
        <w:tc>
          <w:tcPr>
            <w:tcW w:type="dxa" w:w="18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Type</w:t>
            </w:r>
          </w:p>
        </w:tc>
        <w:tc>
          <w:tcPr>
            <w:tcW w:type="dxa" w:w="38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Pre-Session State</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Script</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WCB selection using wrong column</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build_trade_signal_local.py</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Script</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WCB coverage not propagating</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public.market_state_snapshots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wcb_features.weight_coverage_pct = null</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public.signal_snapshots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wcb_weight_coverage_pct = null</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public.weighted_constituent_breadth_snapshots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valid NIFTY and SENSEX rows present</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public.gamma_metrics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flip_distance_pct absent/inconsistent upstream</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public.market_breadth_intraday</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latest row readable</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public.volatility_snapshots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latest row readable</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public.market_spot_snapshots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state timestamp anchor</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public.index_futures_snapshots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basis computed successfully</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public.momentum_snapshots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momentum_regime null on older state rows</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framework (NIFTY + SENSEX rows)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Data</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rows valid but not being read correctly</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market_state_snapshots wcb_features block</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Feature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writing null weight_coverage_pct</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engine WCB measurement fields</w:t>
            </w:r>
          </w:p>
        </w:tc>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Feature</w:t>
            </w:r>
          </w:p>
        </w:tc>
        <w:tc>
          <w:tcPr>
            <w:tcW w:type="dxa" w:w="3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Existed — wcb_regime, wcb_score, wcb_alignment, wcb_weight_coverage_pct all defined but null</w: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2.2  What Was Discovered During This Session</w:t>
      </w:r>
    </w:p>
    <w:p>
      <w:pPr>
        <w:pBdr>
          <w:left w:val="single" w:color="C00000" w:sz="12" w:space="10"/>
        </w:pBdr>
        <w:spacing w:before="70" w:after="70"/>
        <w:ind w:left="640"/>
      </w:pPr>
      <w:r>
        <w:rPr>
          <w:rFonts w:ascii="Arial" w:cs="Arial" w:eastAsia="Arial" w:hAnsi="Arial"/>
          <w:b/>
          <w:bCs/>
          <w:color w:val="C00000"/>
          <w:sz w:val="18"/>
          <w:szCs w:val="18"/>
        </w:rPr>
        <w:t xml:space="preserve">This is the most important discovery block. Every item below was unknown or unconfirmed going into the session.</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2.2.1  WCB query failure</w:t>
      </w:r>
    </w:p>
    <w:p>
      <w:pPr>
        <w:shd w:fill="F4F6FA" w:val="clear"/>
        <w:spacing w:before="14" w:after="14"/>
        <w:ind w:left="640"/>
      </w:pPr>
      <w:r>
        <w:rPr>
          <w:rFonts w:ascii="Courier New" w:cs="Courier New" w:eastAsia="Courier New" w:hAnsi="Courier New"/>
          <w:color w:val="1a1a2e"/>
          <w:sz w:val="16"/>
          <w:szCs w:val="16"/>
        </w:rPr>
        <w:t xml:space="preserve">column weighted_constituent_breadth_snapshots.symbol does not exist</w:t>
      </w:r>
    </w:p>
    <w:p>
      <w:pPr>
        <w:spacing w:before="55" w:after="55"/>
      </w:pPr>
      <w:r>
        <w:rPr>
          <w:rFonts w:ascii="Arial" w:cs="Arial" w:eastAsia="Arial" w:hAnsi="Arial"/>
          <w:color w:val="404040"/>
          <w:sz w:val="18"/>
          <w:szCs w:val="18"/>
        </w:rPr>
        <w:t xml:space="preserve">This established that the script was incorrectly assuming a symbol column on weighted_constituent_breadth_snapshots.</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2.2.2  Actual WCB table schema</w:t>
      </w:r>
    </w:p>
    <w:p>
      <w:pPr>
        <w:spacing w:before="55" w:after="55"/>
      </w:pPr>
      <w:r>
        <w:rPr>
          <w:rFonts w:ascii="Arial" w:cs="Arial" w:eastAsia="Arial" w:hAnsi="Arial"/>
          <w:color w:val="404040"/>
          <w:sz w:val="18"/>
          <w:szCs w:val="18"/>
        </w:rPr>
        <w:t xml:space="preserve">Schema inspection confirmed that weighted_constituent_breadth_snapshots contains:</w:t>
      </w:r>
    </w:p>
    <w:p>
      <w:pPr>
        <w:pStyle w:val="ListParagraph"/>
        <w:numPr>
          <w:ilvl w:val="0"/>
          <w:numId w:val="2"/>
        </w:numPr>
        <w:spacing w:before="35" w:after="35"/>
      </w:pPr>
      <w:r>
        <w:rPr>
          <w:rFonts w:ascii="Arial" w:cs="Arial" w:eastAsia="Arial" w:hAnsi="Arial"/>
          <w:b w:val="false"/>
          <w:bCs w:val="false"/>
          <w:color w:val="404040"/>
          <w:sz w:val="18"/>
          <w:szCs w:val="18"/>
        </w:rPr>
        <w:t xml:space="preserve">index_symbol</w:t>
      </w:r>
    </w:p>
    <w:p>
      <w:pPr>
        <w:pStyle w:val="ListParagraph"/>
        <w:numPr>
          <w:ilvl w:val="0"/>
          <w:numId w:val="2"/>
        </w:numPr>
        <w:spacing w:before="35" w:after="35"/>
      </w:pPr>
      <w:r>
        <w:rPr>
          <w:rFonts w:ascii="Arial" w:cs="Arial" w:eastAsia="Arial" w:hAnsi="Arial"/>
          <w:b w:val="false"/>
          <w:bCs w:val="false"/>
          <w:color w:val="404040"/>
          <w:sz w:val="18"/>
          <w:szCs w:val="18"/>
        </w:rPr>
        <w:t xml:space="preserve">constituent_count</w:t>
      </w:r>
    </w:p>
    <w:p>
      <w:pPr>
        <w:pStyle w:val="ListParagraph"/>
        <w:numPr>
          <w:ilvl w:val="0"/>
          <w:numId w:val="2"/>
        </w:numPr>
        <w:spacing w:before="35" w:after="35"/>
      </w:pPr>
      <w:r>
        <w:rPr>
          <w:rFonts w:ascii="Arial" w:cs="Arial" w:eastAsia="Arial" w:hAnsi="Arial"/>
          <w:b w:val="false"/>
          <w:bCs w:val="false"/>
          <w:color w:val="404040"/>
          <w:sz w:val="18"/>
          <w:szCs w:val="18"/>
        </w:rPr>
        <w:t xml:space="preserve">active_weight_pct</w:t>
      </w:r>
    </w:p>
    <w:p>
      <w:pPr>
        <w:spacing w:before="55" w:after="55"/>
      </w:pPr>
      <w:r>
        <w:rPr>
          <w:rFonts w:ascii="Arial" w:cs="Arial" w:eastAsia="Arial" w:hAnsi="Arial"/>
          <w:color w:val="404040"/>
          <w:sz w:val="18"/>
          <w:szCs w:val="18"/>
        </w:rPr>
        <w:t xml:space="preserve">And does NOT contain:</w:t>
      </w:r>
    </w:p>
    <w:p>
      <w:pPr>
        <w:pStyle w:val="ListParagraph"/>
        <w:numPr>
          <w:ilvl w:val="0"/>
          <w:numId w:val="2"/>
        </w:numPr>
        <w:spacing w:before="35" w:after="35"/>
      </w:pPr>
      <w:r>
        <w:rPr>
          <w:rFonts w:ascii="Arial" w:cs="Arial" w:eastAsia="Arial" w:hAnsi="Arial"/>
          <w:b w:val="false"/>
          <w:bCs w:val="false"/>
          <w:color w:val="404040"/>
          <w:sz w:val="18"/>
          <w:szCs w:val="18"/>
        </w:rPr>
        <w:t xml:space="preserve">symbol</w:t>
      </w:r>
    </w:p>
    <w:p>
      <w:pPr>
        <w:pStyle w:val="ListParagraph"/>
        <w:numPr>
          <w:ilvl w:val="0"/>
          <w:numId w:val="2"/>
        </w:numPr>
        <w:spacing w:before="35" w:after="35"/>
      </w:pPr>
      <w:r>
        <w:rPr>
          <w:rFonts w:ascii="Arial" w:cs="Arial" w:eastAsia="Arial" w:hAnsi="Arial"/>
          <w:b w:val="false"/>
          <w:bCs w:val="false"/>
          <w:color w:val="404040"/>
          <w:sz w:val="18"/>
          <w:szCs w:val="18"/>
        </w:rPr>
        <w:t xml:space="preserve">weight_coverage_pct</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2.2.3  Wrong WCB row selection for SENSEX</w:t>
      </w:r>
    </w:p>
    <w:p>
      <w:pPr>
        <w:spacing w:before="55" w:after="55"/>
      </w:pPr>
      <w:r>
        <w:rPr>
          <w:rFonts w:ascii="Arial" w:cs="Arial" w:eastAsia="Arial" w:hAnsi="Arial"/>
          <w:color w:val="404040"/>
          <w:sz w:val="18"/>
          <w:szCs w:val="18"/>
        </w:rPr>
        <w:t xml:space="preserve">At one intermediate stage, the market state for SENSEX incorrectly picked the NIFTY WCB row:</w:t>
      </w:r>
    </w:p>
    <w:p>
      <w:pPr>
        <w:shd w:fill="F4F6FA" w:val="clear"/>
        <w:spacing w:before="14" w:after="14"/>
        <w:ind w:left="640"/>
      </w:pPr>
      <w:r>
        <w:rPr>
          <w:rFonts w:ascii="Courier New" w:cs="Courier New" w:eastAsia="Courier New" w:hAnsi="Courier New"/>
          <w:color w:val="1a1a2e"/>
          <w:sz w:val="16"/>
          <w:szCs w:val="16"/>
        </w:rPr>
        <w:t xml:space="preserve">SENSEX market state showed:</w:t>
      </w:r>
    </w:p>
    <w:p>
      <w:pPr>
        <w:shd w:fill="F4F6FA" w:val="clear"/>
        <w:spacing w:before="14" w:after="14"/>
        <w:ind w:left="640"/>
      </w:pPr>
      <w:r>
        <w:rPr>
          <w:rFonts w:ascii="Courier New" w:cs="Courier New" w:eastAsia="Courier New" w:hAnsi="Courier New"/>
          <w:color w:val="1a1a2e"/>
          <w:sz w:val="16"/>
          <w:szCs w:val="16"/>
        </w:rPr>
        <w:t xml:space="preserve">  wcb_score = 11.237152157898004</w:t>
      </w:r>
    </w:p>
    <w:p>
      <w:pPr>
        <w:shd w:fill="F4F6FA" w:val="clear"/>
        <w:spacing w:before="14" w:after="14"/>
        <w:ind w:left="640"/>
      </w:pPr>
      <w:r>
        <w:rPr>
          <w:rFonts w:ascii="Courier New" w:cs="Courier New" w:eastAsia="Courier New" w:hAnsi="Courier New"/>
          <w:color w:val="1a1a2e"/>
          <w:sz w:val="16"/>
          <w:szCs w:val="16"/>
        </w:rPr>
        <w:t xml:space="preserve">  constituent_count = 49</w:t>
      </w:r>
    </w:p>
    <w:p>
      <w:pPr>
        <w:spacing w:before="55" w:after="55"/>
      </w:pPr>
      <w:r>
        <w:rPr>
          <w:rFonts w:ascii="Arial" w:cs="Arial" w:eastAsia="Arial" w:hAnsi="Arial"/>
          <w:color w:val="404040"/>
          <w:sz w:val="18"/>
          <w:szCs w:val="18"/>
        </w:rPr>
        <w:t xml:space="preserve">This proved row selection fallback was too loose and was returning the wrong index row.</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2.2.4  Weight coverage null propagation</w:t>
      </w:r>
    </w:p>
    <w:p>
      <w:pPr>
        <w:spacing w:before="55" w:after="55"/>
      </w:pPr>
      <w:r>
        <w:rPr>
          <w:rFonts w:ascii="Arial" w:cs="Arial" w:eastAsia="Arial" w:hAnsi="Arial"/>
          <w:color w:val="404040"/>
          <w:sz w:val="18"/>
          <w:szCs w:val="18"/>
        </w:rPr>
        <w:t xml:space="preserve">The WCB source rows visibly contained weight coverage in one of these places: top-level column active_weight_pct, or raw JSON at raw.active_weight_total. But market state and signal output still showed weight_coverage_pct = null and wcb_weight_coverage_pct = null. This established that extraction logic was looking for the wrong field names.</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2.2.5  Momentum regime persistence mismatch across runs</w:t>
      </w:r>
    </w:p>
    <w:p>
      <w:pPr>
        <w:spacing w:before="55" w:after="55"/>
      </w:pPr>
      <w:r>
        <w:rPr>
          <w:rFonts w:ascii="Arial" w:cs="Arial" w:eastAsia="Arial" w:hAnsi="Arial"/>
          <w:color w:val="404040"/>
          <w:sz w:val="18"/>
          <w:szCs w:val="18"/>
        </w:rPr>
        <w:t xml:space="preserve">Older market_state_snapshots rows showed momentum_regime = null. Later rows showed momentum_regime = DOWN. This proved that the market-state builder had to be regenerated with improved momentum-regime derivation and that downstream signal logic had to read the corrected rows, not stale ones.</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2.2.6  Confidence model first pass was too punitive</w:t>
      </w:r>
    </w:p>
    <w:p>
      <w:pPr>
        <w:spacing w:before="55" w:after="55"/>
      </w:pPr>
      <w:r>
        <w:rPr>
          <w:rFonts w:ascii="Arial" w:cs="Arial" w:eastAsia="Arial" w:hAnsi="Arial"/>
          <w:color w:val="404040"/>
          <w:sz w:val="18"/>
          <w:szCs w:val="18"/>
        </w:rPr>
        <w:t xml:space="preserve">Once WCB propagation was corrected, the signal engine still produced surprisingly low scores:</w:t>
      </w:r>
    </w:p>
    <w:p>
      <w:pPr>
        <w:shd w:fill="F4F6FA" w:val="clear"/>
        <w:spacing w:before="14" w:after="14"/>
        <w:ind w:left="640"/>
      </w:pPr>
      <w:r>
        <w:rPr>
          <w:rFonts w:ascii="Courier New" w:cs="Courier New" w:eastAsia="Courier New" w:hAnsi="Courier New"/>
          <w:color w:val="1a1a2e"/>
          <w:sz w:val="16"/>
          <w:szCs w:val="16"/>
        </w:rPr>
        <w:t xml:space="preserve">NIFTY  ~22 / 38 / 44  (depending on iteration)</w:t>
      </w:r>
    </w:p>
    <w:p>
      <w:pPr>
        <w:shd w:fill="F4F6FA" w:val="clear"/>
        <w:spacing w:before="14" w:after="14"/>
        <w:ind w:left="640"/>
      </w:pPr>
      <w:r>
        <w:rPr>
          <w:rFonts w:ascii="Courier New" w:cs="Courier New" w:eastAsia="Courier New" w:hAnsi="Courier New"/>
          <w:color w:val="1a1a2e"/>
          <w:sz w:val="16"/>
          <w:szCs w:val="16"/>
        </w:rPr>
        <w:t xml:space="preserve">SENSEX ~20 / 41 / 43  (depending on iteration)</w:t>
      </w:r>
    </w:p>
    <w:p>
      <w:pPr>
        <w:spacing w:before="55" w:after="55"/>
      </w:pPr>
      <w:r>
        <w:rPr>
          <w:rFonts w:ascii="Arial" w:cs="Arial" w:eastAsia="Arial" w:hAnsi="Arial"/>
          <w:color w:val="404040"/>
          <w:sz w:val="18"/>
          <w:szCs w:val="18"/>
        </w:rPr>
        <w:t xml:space="preserve">This was inconsistent with the actual state: gamma bearish, breadth bearish, momentum bearish, WCB aligned, high WCB coverage. The problem was not directional conviction — execution constraints were dominating the whole score.</w:t>
      </w:r>
    </w:p>
    <w:p>
      <w:pPr>
        <w:spacing w:before="40" w:after="0"/>
      </w:pPr>
      <w:r>
        <w:rPr>
          <w:rFonts w:ascii="Arial" w:cs="Arial" w:eastAsia="Arial" w:hAnsi="Arial"/>
          <w:color w:val="404040"/>
          <w:sz w:val="18"/>
          <w:szCs w:val="18"/>
        </w:rPr>
        <w:t xml:space="preserve"/>
      </w:r>
    </w:p>
    <w:p>
      <w:pPr>
        <w:spacing w:before="140" w:after="35"/>
      </w:pPr>
      <w:r>
        <w:rPr>
          <w:rFonts w:ascii="Arial" w:cs="Arial" w:eastAsia="Arial" w:hAnsi="Arial"/>
          <w:b/>
          <w:bCs/>
          <w:color w:val="1F3864"/>
          <w:sz w:val="18"/>
          <w:szCs w:val="18"/>
        </w:rPr>
        <w:t xml:space="preserve">2.2.7  Temporary file contamination risk</w:t>
      </w:r>
    </w:p>
    <w:p>
      <w:pPr>
        <w:spacing w:before="55" w:after="55"/>
      </w:pPr>
      <w:r>
        <w:rPr>
          <w:rFonts w:ascii="Arial" w:cs="Arial" w:eastAsia="Arial" w:hAnsi="Arial"/>
          <w:color w:val="404040"/>
          <w:sz w:val="18"/>
          <w:szCs w:val="18"/>
        </w:rPr>
        <w:t xml:space="preserve">Earlier in the session chain, cases arose where the wrong script contents had been pasted into the wrong file, causing build_trade_signal_local.py to behave like market-state builder output. This was corrected before the final stable run but remains an important standing process risk.</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2.3  What Changed During This Session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40"/>
      </w:tblGrid>
      <w:tr>
        <w:tc>
          <w:tcPr>
            <w:tcW w:type="dxa" w:w="3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Change</w:t>
            </w:r>
          </w:p>
        </w:tc>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Script</w:t>
            </w:r>
          </w:p>
        </w:tc>
        <w:tc>
          <w:tcPr>
            <w:tcW w:type="dxa" w:w="36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Detail</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retrieval rewritten — no longer queries by nonexistent symbol column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Fetches recent WCB rows generically; resolves index via index_symbol, then alternate symbol-like keys, then constituent_count (49=NIFTY, 29=SENSEX)</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coverage extraction fixed</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Extracts active_weight_pct first; falls back to raw.active_weight_total</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flip_distance_pct now derived locally in market state</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Computed when absent/inconsistent from upstream gamma_metrics</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momentum_regime now derived and persisted in market state</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Ensures downstream signal logic has a stable interpretation anchor</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wcb_weight_coverage_pct propagation fixed</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build_trade_signal_local.py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Reads corrected market-state rows and persists non-null coverage into signal_snapshots</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alignment derived as signal metadata</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build_trade_signal_local.py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Derived from corrected WCB payload and persisted</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Confidence model reworked</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build_trade_signal_local.py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Split into conviction_score_debug and execution_penalty_debug; both persisted as raw debug fields</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Latest market-state and signal rows reinserted</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Both scripts</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Final corrected rows validated for NIFTY and SENSEX</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3. File Inventory</w:t>
      </w:r>
    </w:p>
    <w:p>
      <w:pPr>
        <w:spacing w:before="220" w:after="50"/>
      </w:pPr>
      <w:r>
        <w:rPr>
          <w:rFonts w:ascii="Arial" w:cs="Arial" w:eastAsia="Arial" w:hAnsi="Arial"/>
          <w:b/>
          <w:bCs/>
          <w:color w:val="2E75B6"/>
          <w:sz w:val="20"/>
          <w:szCs w:val="20"/>
        </w:rPr>
        <w:t xml:space="preserve">3.1  Files Touched in This Session</w:t>
      </w:r>
    </w:p>
    <w:p>
      <w:pPr>
        <w:spacing w:before="3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5" w:after="25"/>
            </w:pPr>
            <w:r>
              <w:rPr>
                <w:rFonts w:ascii="Arial" w:cs="Arial" w:eastAsia="Arial" w:hAnsi="Arial"/>
                <w:b/>
                <w:bCs/>
                <w:color w:val="375623"/>
                <w:sz w:val="18"/>
                <w:szCs w:val="18"/>
              </w:rPr>
              <w:t xml:space="preserve">1  </w:t>
            </w:r>
            <w:r>
              <w:rPr>
                <w:rFonts w:ascii="Courier New" w:cs="Courier New" w:eastAsia="Courier New" w:hAnsi="Courier New"/>
                <w:b/>
                <w:bCs/>
                <w:color w:val="1F3864"/>
                <w:sz w:val="17"/>
                <w:szCs w:val="17"/>
              </w:rPr>
              <w:t xml:space="preserve">C:\GammaEnginePython\build_market_state_snapshot_local.py</w:t>
            </w:r>
            <w:r>
              <w:rPr>
                <w:rFonts w:ascii="Arial" w:cs="Arial" w:eastAsia="Arial" w:hAnsi="Arial"/>
                <w:color w:val="375623"/>
                <w:sz w:val="17"/>
                <w:szCs w:val="17"/>
              </w:rPr>
              <w:t xml:space="preserve">   ✅ Validated  /  🔄 Modified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0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public.gamma_metrics, public.market_breadth_intraday, public.volatility_snapshots,
public.market_spot_snapshots, public.index_futures_snapshots,
public.momentum_snapshots, public.weighted_constituent_breadth_snapshots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0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public.market_state_snapshots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0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color w:val="404040"/>
                <w:sz w:val="17"/>
                <w:szCs w:val="17"/>
              </w:rPr>
              <w:t xml:space="preserve">Main repair file for this session. Fixed WCB selection by index_symbol, WCB coverage extraction from active_weight_pct / raw.active_weight_total, momentum_regime persistence, and flip_distance_pct local derivation.</w:t>
            </w:r>
          </w:p>
        </w:tc>
      </w:tr>
    </w:tbl>
    <w:p>
      <w:pPr>
        <w:spacing w:before="30" w:after="0"/>
      </w:pPr>
      <w:r>
        <w:rPr>
          <w:rFonts w:ascii="Arial" w:cs="Arial" w:eastAsia="Arial" w:hAnsi="Arial"/>
          <w:color w:val="404040"/>
          <w:sz w:val="18"/>
          <w:szCs w:val="18"/>
        </w:rPr>
        <w:t xml:space="preserve"/>
      </w:r>
    </w:p>
    <w:tbl>
      <w:tblPr>
        <w:tblW w:type="dxa" w:w="9240"/>
        <w:tblBorders>
          <w:top w:val="none"/>
          <w:left w:val="none"/>
          <w:bottom w:val="none"/>
          <w:right w:val="none"/>
          <w:insideH w:val="single" w:color="auto" w:sz="4"/>
          <w:insideV w:val="single" w:color="auto" w:sz="4"/>
        </w:tblBorders>
      </w:tblPr>
      <w:tblGrid>
        <w:gridCol w:w="1600"/>
        <w:gridCol w:w="7640"/>
      </w:tblGrid>
      <w:tr>
        <w:tc>
          <w:tcPr>
            <w:gridSpan w:val="2"/>
            <w:tcBorders>
              <w:top w:val="single" w:color="375623" w:sz="4"/>
              <w:left w:val="single" w:color="375623" w:sz="4"/>
              <w:bottom w:val="single" w:color="375623" w:sz="4"/>
              <w:right w:val="single" w:color="375623" w:sz="4"/>
            </w:tcBorders>
            <w:shd w:fill="E2EFDA" w:val="clear"/>
            <w:tcMar>
              <w:top w:type="dxa" w:w="70"/>
              <w:left w:type="dxa" w:w="140"/>
              <w:bottom w:type="dxa" w:w="70"/>
              <w:right w:type="dxa" w:w="140"/>
            </w:tcMar>
          </w:tcPr>
          <w:p>
            <w:pPr>
              <w:spacing w:before="25" w:after="25"/>
            </w:pPr>
            <w:r>
              <w:rPr>
                <w:rFonts w:ascii="Arial" w:cs="Arial" w:eastAsia="Arial" w:hAnsi="Arial"/>
                <w:b/>
                <w:bCs/>
                <w:color w:val="375623"/>
                <w:sz w:val="18"/>
                <w:szCs w:val="18"/>
              </w:rPr>
              <w:t xml:space="preserve">2  </w:t>
            </w:r>
            <w:r>
              <w:rPr>
                <w:rFonts w:ascii="Courier New" w:cs="Courier New" w:eastAsia="Courier New" w:hAnsi="Courier New"/>
                <w:b/>
                <w:bCs/>
                <w:color w:val="1F3864"/>
                <w:sz w:val="17"/>
                <w:szCs w:val="17"/>
              </w:rPr>
              <w:t xml:space="preserve">C:\GammaEnginePython\build_trade_signal_local.py</w:t>
            </w:r>
            <w:r>
              <w:rPr>
                <w:rFonts w:ascii="Arial" w:cs="Arial" w:eastAsia="Arial" w:hAnsi="Arial"/>
                <w:color w:val="375623"/>
                <w:sz w:val="17"/>
                <w:szCs w:val="17"/>
              </w:rPr>
              <w:t xml:space="preserve">   ✅ Validated  /  🔄 Modified</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Reads From</w:t>
            </w:r>
          </w:p>
        </w:tc>
        <w:tc>
          <w:tcPr>
            <w:tcW w:type="dxa" w:w="760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public.market_state_snapshots</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Writes To</w:t>
            </w:r>
          </w:p>
        </w:tc>
        <w:tc>
          <w:tcPr>
            <w:tcW w:type="dxa" w:w="760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Courier New" w:cs="Courier New" w:eastAsia="Courier New" w:hAnsi="Courier New"/>
                <w:color w:val="1a1a2e"/>
                <w:sz w:val="16"/>
                <w:szCs w:val="16"/>
              </w:rPr>
              <w:t xml:space="preserve">public.signal_snapshots
C:\GammaEnginePython\data\latest_trade_signal_NIFTY.json
C:\GammaEnginePython\data\latest_trade_signal_SENSEX.json</w:t>
            </w:r>
          </w:p>
        </w:tc>
      </w:tr>
      <w:tr>
        <w:tc>
          <w:tcPr>
            <w:tcW w:type="dxa" w:w="1600"/>
            <w:tcBorders>
              <w:top w:val="single" w:color="CCCCCC" w:sz="4"/>
              <w:left w:val="single" w:color="CCCCCC" w:sz="4"/>
              <w:bottom w:val="single" w:color="CCCCCC" w:sz="4"/>
              <w:right w:val="single" w:color="CCCCCC" w:sz="4"/>
            </w:tcBorders>
            <w:shd w:fill="F2F2F2" w:val="clear"/>
            <w:tcMar>
              <w:top w:type="dxa" w:w="55"/>
              <w:left w:type="dxa" w:w="110"/>
              <w:bottom w:type="dxa" w:w="55"/>
              <w:right w:type="dxa" w:w="110"/>
            </w:tcMar>
          </w:tcPr>
          <w:p>
            <w:r>
              <w:rPr>
                <w:rFonts w:ascii="Arial" w:cs="Arial" w:eastAsia="Arial" w:hAnsi="Arial"/>
                <w:b/>
                <w:bCs/>
                <w:color w:val="1F3864"/>
                <w:sz w:val="16"/>
                <w:szCs w:val="16"/>
              </w:rPr>
              <w:t xml:space="preserve">📝 Notes</w:t>
            </w:r>
          </w:p>
        </w:tc>
        <w:tc>
          <w:tcPr>
            <w:tcW w:type="dxa" w:w="7600"/>
            <w:tcBorders>
              <w:top w:val="single" w:color="CCCCCC" w:sz="4"/>
              <w:left w:val="single" w:color="CCCCCC" w:sz="4"/>
              <w:bottom w:val="single" w:color="CCCCCC" w:sz="4"/>
              <w:right w:val="single" w:color="CCCCCC" w:sz="4"/>
            </w:tcBorders>
            <w:tcMar>
              <w:top w:type="dxa" w:w="55"/>
              <w:left w:type="dxa" w:w="110"/>
              <w:bottom w:type="dxa" w:w="55"/>
              <w:right w:type="dxa" w:w="110"/>
            </w:tcMar>
          </w:tcPr>
          <w:p>
            <w:pPr>
              <w:spacing w:before="30" w:after="30"/>
            </w:pPr>
            <w:r>
              <w:rPr>
                <w:rFonts w:ascii="Arial" w:cs="Arial" w:eastAsia="Arial" w:hAnsi="Arial"/>
                <w:color w:val="404040"/>
                <w:sz w:val="17"/>
                <w:szCs w:val="17"/>
              </w:rPr>
              <w:t xml:space="preserve">Fixed downstream persistence of wcb_weight_coverage_pct. Reworked confidence model to conviction-minus-execution-penalties with debug decomposition.</w: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3.2  Files Referenced but Not Modified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200"/>
        <w:gridCol w:w="2240"/>
      </w:tblGrid>
      <w:tr>
        <w:tc>
          <w:tcPr>
            <w:tcW w:type="dxa" w:w="3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Full Path</w:t>
            </w:r>
          </w:p>
        </w:tc>
        <w:tc>
          <w:tcPr>
            <w:tcW w:type="dxa" w:w="2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Role</w:t>
            </w:r>
          </w:p>
        </w:tc>
        <w:tc>
          <w:tcPr>
            <w:tcW w:type="dxa" w:w="1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Status</w:t>
            </w:r>
          </w:p>
        </w:tc>
        <w:tc>
          <w:tcPr>
            <w:tcW w:type="dxa" w:w="22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C:\GammaEnginePython\.env</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Environment source — Supabase URL and service role key</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Used</w:t>
            </w:r>
          </w:p>
        </w:tc>
        <w:tc>
          <w:tcPr>
            <w:tcW w:type="dxa" w:w="2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 change during this session</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C:\GammaEnginePython\data\latest_trade_signal_NIFTY.json</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Latest signal JSON output</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Refreshed</w:t>
            </w:r>
          </w:p>
        </w:tc>
        <w:tc>
          <w:tcPr>
            <w:tcW w:type="dxa" w:w="2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Overwritten by final corrected signal run</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C:\GammaEnginePython\data\latest_trade_signal_SENSEX.json</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Latest signal JSON output</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Refreshed</w:t>
            </w:r>
          </w:p>
        </w:tc>
        <w:tc>
          <w:tcPr>
            <w:tcW w:type="dxa" w:w="2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Overwritten by final corrected signal run</w: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3.3  Rejected / Superseded Code States</w:t>
      </w:r>
    </w:p>
    <w:p>
      <w:pPr>
        <w:pBdr>
          <w:left w:val="single" w:color="C00000" w:sz="12" w:space="10"/>
        </w:pBdr>
        <w:spacing w:before="70" w:after="70"/>
        <w:ind w:left="640"/>
      </w:pPr>
      <w:r>
        <w:rPr>
          <w:rFonts w:ascii="Arial" w:cs="Arial" w:eastAsia="Arial" w:hAnsi="Arial"/>
          <w:b/>
          <w:bCs/>
          <w:color w:val="C00000"/>
          <w:sz w:val="18"/>
          <w:szCs w:val="18"/>
        </w:rPr>
        <w:t xml:space="preserve">These must be documented — future sessions will encounter these code states and must not re-implement them.</w:t>
      </w:r>
    </w:p>
    <w:p>
      <w:pPr>
        <w:spacing w:before="30" w:after="0"/>
      </w:pPr>
      <w:r>
        <w:rPr>
          <w:rFonts w:ascii="Arial" w:cs="Arial" w:eastAsia="Arial" w:hAnsi="Arial"/>
          <w:color w:val="404040"/>
          <w:sz w:val="18"/>
          <w:szCs w:val="18"/>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40"/>
      </w:tblGrid>
      <w:tr>
        <w:tc>
          <w:tcPr>
            <w:tcW w:type="dxa" w:w="3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File</w:t>
            </w:r>
          </w:p>
        </w:tc>
        <w:tc>
          <w:tcPr>
            <w:tcW w:type="dxa" w:w="3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Rejected State</w:t>
            </w:r>
          </w:p>
        </w:tc>
        <w:tc>
          <w:tcPr>
            <w:tcW w:type="dxa" w:w="30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Why Rejected</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Version querying weighted_constituent_breadth_snapshots.symbol directly</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Failed — table has no symbol column</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Intermediate fallback version that could return wrong WCB row for SENSEX</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Too loose — returned NIFTY row (constituent_count=49) for SENSEX</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Intermediate extractor looking for weight_coverage_pct only</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 stores coverage as active_weight_pct / raw.active_weight_total — coverage remained null</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build_trade_signal_local.py</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Confidence model variants producing ~20–44 despite strong directional confluence</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Over-penalized execution blockers and obscured conviction</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build_trade_signal_local.py</w:t>
            </w:r>
          </w:p>
        </w:tc>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Wrong-file-paste contaminated state from earlier in session chain</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Caused signal script to behave like market-state builder — no longer active</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4. Table Inventory</w:t>
      </w:r>
    </w:p>
    <w:p>
      <w:pPr>
        <w:spacing w:before="220" w:after="50"/>
      </w:pPr>
      <w:r>
        <w:rPr>
          <w:rFonts w:ascii="Arial" w:cs="Arial" w:eastAsia="Arial" w:hAnsi="Arial"/>
          <w:b/>
          <w:bCs/>
          <w:color w:val="2E75B6"/>
          <w:sz w:val="20"/>
          <w:szCs w:val="20"/>
        </w:rPr>
        <w:t xml:space="preserve">4.1  Tables Written or Revalidated in This Session</w:t>
      </w:r>
    </w:p>
    <w:tbl>
      <w:tblPr>
        <w:tblW w:type="dxa" w:w="132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200"/>
        <w:gridCol w:w="3640"/>
      </w:tblGrid>
      <w:tr>
        <w:tc>
          <w:tcPr>
            <w:tcW w:type="dxa" w:w="2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Table Name</w:t>
            </w:r>
          </w:p>
        </w:tc>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Written By</w:t>
            </w:r>
          </w:p>
        </w:tc>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Read By</w:t>
            </w:r>
          </w:p>
        </w:tc>
        <w:tc>
          <w:tcPr>
            <w:tcW w:type="dxa" w:w="2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End-of-Session State</w:t>
            </w:r>
          </w:p>
        </w:tc>
        <w:tc>
          <w:tcPr>
            <w:tcW w:type="dxa" w:w="36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Schema Gotcha</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public.market_state_snapshots</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build_trade_signal_local.py</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New corrected rows inserted for NIFTY and SENSEX; latest rows valid</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wcb_features.weight_coverage_pct was null until extractor fixed</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public.signal_snapshots</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build_trade_signal_local.py</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Downstream inspection / analytics</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New corrected rows inserted; latest rows valid</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wcb_weight_coverage_pct was null until corrected market-state row propagated</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public.weighted_constituent_breadth_snapshots</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written this session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Existing rows confirmed valid for NIFTY and SENSEX</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 symbol column — uses index_symbol; top-level coverage = active_weight_pct, not weight_coverage_pct</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public.momentum_snapshots</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written this session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Existing rows read successfully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momentum_regime null on older state rows but derived correctly on latest corrected ones</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public.gamma_metrics</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written this session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Existing rows read successfully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flip_distance_pct may be absent / inconsistent upstream — local derivation now applied</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public.market_breadth_intraday</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written this session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Latest row read successfully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Broad market breadth reused for both indices</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public.volatility_snapshots</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written this session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Latest row read successfully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nse_vix_row may be null in newer state rows — non-blocking</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public.market_spot_snapshots</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written this session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Latest row read successfully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Served as state timestamp anchor</w:t>
            </w:r>
          </w:p>
        </w:tc>
      </w:tr>
      <w:tr>
        <w:tc>
          <w:tcPr>
            <w:tcW w:type="dxa" w:w="2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public.index_futures_snapshots</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written this session</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build_market_state_snapshot_local.py</w:t>
            </w:r>
          </w:p>
        </w:tc>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Latest row read successfully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Basis computed successfully</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5. Exact Schemas for New or Modified Tables</w:t>
      </w:r>
    </w:p>
    <w:p>
      <w:pPr>
        <w:spacing w:before="220" w:after="50"/>
      </w:pPr>
      <w:r>
        <w:rPr>
          <w:rFonts w:ascii="Arial" w:cs="Arial" w:eastAsia="Arial" w:hAnsi="Arial"/>
          <w:b/>
          <w:bCs/>
          <w:color w:val="2E75B6"/>
          <w:sz w:val="20"/>
          <w:szCs w:val="20"/>
        </w:rPr>
        <w:t xml:space="preserve">5.1  New Tables Created in This Session</w:t>
      </w:r>
    </w:p>
    <w:p>
      <w:pPr>
        <w:pBdr>
          <w:left w:val="single" w:color="2E75B6" w:sz="6" w:space="10"/>
        </w:pBdr>
        <w:spacing w:before="55" w:after="55"/>
        <w:ind w:left="640"/>
      </w:pPr>
      <w:r>
        <w:rPr>
          <w:rFonts w:ascii="Arial" w:cs="Arial" w:eastAsia="Arial" w:hAnsi="Arial"/>
          <w:color w:val="404040"/>
          <w:sz w:val="18"/>
          <w:szCs w:val="18"/>
        </w:rPr>
        <w:t xml:space="preserve">No new tables were created in this session.</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5.2  Confirmed Schema — public.weighted_constituent_breadth_snapshots</w:t>
      </w:r>
    </w:p>
    <w:p>
      <w:pPr>
        <w:pBdr>
          <w:left w:val="single" w:color="C00000" w:sz="12" w:space="10"/>
        </w:pBdr>
        <w:spacing w:before="70" w:after="70"/>
        <w:ind w:left="640"/>
      </w:pPr>
      <w:r>
        <w:rPr>
          <w:rFonts w:ascii="Arial" w:cs="Arial" w:eastAsia="Arial" w:hAnsi="Arial"/>
          <w:b/>
          <w:bCs/>
          <w:color w:val="C00000"/>
          <w:sz w:val="18"/>
          <w:szCs w:val="18"/>
        </w:rPr>
        <w:t xml:space="preserve">Earlier script assumed columns 'symbol' and 'weight_coverage_pct'. Both are wrong. This appendix is the correct reference.</w:t>
      </w:r>
    </w:p>
    <w:p>
      <w:pPr>
        <w:spacing w:before="30" w:after="0"/>
      </w:pPr>
      <w:r>
        <w:rPr>
          <w:rFonts w:ascii="Arial" w:cs="Arial" w:eastAsia="Arial" w:hAnsi="Arial"/>
          <w:color w:val="404040"/>
          <w:sz w:val="18"/>
          <w:szCs w:val="18"/>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800"/>
        <w:gridCol w:w="4440"/>
      </w:tblGrid>
      <w:tr>
        <w:tc>
          <w:tcPr>
            <w:tcW w:type="dxa" w:w="48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column_name</w:t>
            </w:r>
          </w:p>
        </w:tc>
        <w:tc>
          <w:tcPr>
            <w:tcW w:type="dxa" w:w="44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data_type</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id</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uuid</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ts</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timestamp with time zone</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index_symbol</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text</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constituent_count</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integer</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active_weight_pct</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weighted_advances_pct</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weighted_declines_pct</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weighted_unchanged_pct</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weighted_up_4pct_pct</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weighted_down_4pct_pct</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weighted_pct_above_10dma</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weighted_pct_above_20dma</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weighted_pct_above_40dma</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weighted_pct_10gt20</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weighted_pct_20gt40</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wcb_score</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numeric</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wcb_regime</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text</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source_table</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text</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raw</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jsonb</w:t>
            </w:r>
          </w:p>
        </w:tc>
      </w:tr>
      <w:tr>
        <w:tc>
          <w:tcPr>
            <w:tcW w:type="dxa" w:w="4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created_at</w:t>
            </w:r>
          </w:p>
        </w:tc>
        <w:tc>
          <w:tcPr>
            <w:tcW w:type="dxa" w:w="44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timestamp with time zone</w: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5.3  Confirmed Data Contract — Canonical Row Values</w:t>
      </w:r>
    </w:p>
    <w:p>
      <w:pPr>
        <w:spacing w:before="55" w:after="55"/>
      </w:pPr>
      <w:r>
        <w:rPr>
          <w:rFonts w:ascii="Arial" w:cs="Arial" w:eastAsia="Arial" w:hAnsi="Arial"/>
          <w:color w:val="404040"/>
          <w:sz w:val="18"/>
          <w:szCs w:val="18"/>
        </w:rPr>
        <w:t xml:space="preserve">Observed current canonical rows during this session: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40"/>
      </w:tblGrid>
      <w:tr>
        <w:tc>
          <w:tcPr>
            <w:tcW w:type="dxa" w:w="3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Field</w:t>
            </w:r>
          </w:p>
        </w:tc>
        <w:tc>
          <w:tcPr>
            <w:tcW w:type="dxa" w:w="3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NIFTY row</w:t>
            </w:r>
          </w:p>
        </w:tc>
        <w:tc>
          <w:tcPr>
            <w:tcW w:type="dxa" w:w="32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SENSEX row</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index_symbol</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NIFTY</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SENSEX</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constituent_count</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49</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29</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active_weight_pct</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98.86550000000011</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98.27399999999989</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wcb_score</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11.237152157898004</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9.042744435625576</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wcb_regime</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BEARISH</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BEARISH</w:t>
            </w:r>
          </w:p>
        </w:tc>
      </w:tr>
    </w:tbl>
    <w:p>
      <w:pPr>
        <w:spacing w:before="40" w:after="0"/>
      </w:pPr>
      <w:r>
        <w:rPr>
          <w:rFonts w:ascii="Arial" w:cs="Arial" w:eastAsia="Arial" w:hAnsi="Arial"/>
          <w:color w:val="404040"/>
          <w:sz w:val="18"/>
          <w:szCs w:val="18"/>
        </w:rPr>
        <w:t xml:space="preserve"/>
      </w:r>
    </w:p>
    <w:p>
      <w:pPr>
        <w:spacing w:before="55" w:after="55"/>
      </w:pPr>
      <w:r>
        <w:rPr>
          <w:rFonts w:ascii="Arial" w:cs="Arial" w:eastAsia="Arial" w:hAnsi="Arial"/>
          <w:color w:val="404040"/>
          <w:sz w:val="18"/>
          <w:szCs w:val="18"/>
        </w:rPr>
        <w:t xml:space="preserve">Raw JSON fallback fields observed (important for extraction logic):</w:t>
      </w:r>
    </w:p>
    <w:p>
      <w:pPr>
        <w:pStyle w:val="ListParagraph"/>
        <w:numPr>
          <w:ilvl w:val="0"/>
          <w:numId w:val="2"/>
        </w:numPr>
        <w:spacing w:before="35" w:after="35"/>
      </w:pPr>
      <w:r>
        <w:rPr>
          <w:rFonts w:ascii="Arial" w:cs="Arial" w:eastAsia="Arial" w:hAnsi="Arial"/>
          <w:b w:val="false"/>
          <w:bCs w:val="false"/>
          <w:color w:val="404040"/>
          <w:sz w:val="18"/>
          <w:szCs w:val="18"/>
        </w:rPr>
        <w:t xml:space="preserve">raw.active_weight_total — primary fallback when top-level extraction insufficient</w:t>
      </w:r>
    </w:p>
    <w:p>
      <w:pPr>
        <w:pStyle w:val="ListParagraph"/>
        <w:numPr>
          <w:ilvl w:val="0"/>
          <w:numId w:val="2"/>
        </w:numPr>
        <w:spacing w:before="35" w:after="35"/>
      </w:pPr>
      <w:r>
        <w:rPr>
          <w:rFonts w:ascii="Arial" w:cs="Arial" w:eastAsia="Arial" w:hAnsi="Arial"/>
          <w:b w:val="false"/>
          <w:bCs w:val="false"/>
          <w:color w:val="404040"/>
          <w:sz w:val="18"/>
          <w:szCs w:val="18"/>
        </w:rPr>
        <w:t xml:space="preserve">raw.seeded_weight_rows</w:t>
      </w:r>
    </w:p>
    <w:p>
      <w:pPr>
        <w:pStyle w:val="ListParagraph"/>
        <w:numPr>
          <w:ilvl w:val="0"/>
          <w:numId w:val="2"/>
        </w:numPr>
        <w:spacing w:before="35" w:after="35"/>
      </w:pPr>
      <w:r>
        <w:rPr>
          <w:rFonts w:ascii="Arial" w:cs="Arial" w:eastAsia="Arial" w:hAnsi="Arial"/>
          <w:b w:val="false"/>
          <w:bCs w:val="false"/>
          <w:color w:val="404040"/>
          <w:sz w:val="18"/>
          <w:szCs w:val="18"/>
        </w:rPr>
        <w:t xml:space="preserve">raw.latest_market_breadth_intraday</w:t>
      </w:r>
    </w:p>
    <w:p>
      <w:pPr>
        <w:pStyle w:val="ListParagraph"/>
        <w:numPr>
          <w:ilvl w:val="0"/>
          <w:numId w:val="2"/>
        </w:numPr>
        <w:spacing w:before="35" w:after="35"/>
      </w:pPr>
      <w:r>
        <w:rPr>
          <w:rFonts w:ascii="Arial" w:cs="Arial" w:eastAsia="Arial" w:hAnsi="Arial"/>
          <w:b w:val="false"/>
          <w:bCs w:val="false"/>
          <w:color w:val="404040"/>
          <w:sz w:val="18"/>
          <w:szCs w:val="18"/>
        </w:rPr>
        <w:t xml:space="preserve">raw.constituents_used</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5.4  Confirmed Embedded Schema — public.market_state_snapshots (JSON payload)</w:t>
      </w:r>
    </w:p>
    <w:p>
      <w:pPr>
        <w:spacing w:before="55" w:after="55"/>
      </w:pPr>
      <w:r>
        <w:rPr>
          <w:rFonts w:ascii="Arial" w:cs="Arial" w:eastAsia="Arial" w:hAnsi="Arial"/>
          <w:color w:val="404040"/>
          <w:sz w:val="18"/>
          <w:szCs w:val="18"/>
        </w:rPr>
        <w:t xml:space="preserve">No table DDL change. These subfields confirmed present and correctly populated on latest corrected rows: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7240"/>
      </w:tblGrid>
      <w:tr>
        <w:tc>
          <w:tcPr>
            <w:tcW w:type="dxa" w:w="2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JSON block</w:t>
            </w:r>
          </w:p>
        </w:tc>
        <w:tc>
          <w:tcPr>
            <w:tcW w:type="dxa" w:w="72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Confirmed subfields</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gamma_features</w:t>
            </w:r>
          </w:p>
        </w:tc>
        <w:tc>
          <w:tcPr>
            <w:tcW w:type="dxa" w:w="7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gamma_regime, net_gex, gamma_concentration, flip_level, flip_distance, flip_distance_pct, straddle_atm, straddle_slope, source_table, source_ts, source_run_id</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momentum_features</w:t>
            </w:r>
          </w:p>
        </w:tc>
        <w:tc>
          <w:tcPr>
            <w:tcW w:type="dxa" w:w="7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ret_5m, ret_15m, ret_30m, ret_60m, ret_session, price_vs_vwap_pct, vwap_slope, atm_straddle_change, atm_straddle_change_pct, momentum_regime, source_table, source_ts, source</w:t>
            </w:r>
          </w:p>
        </w:tc>
      </w:tr>
      <w:tr>
        <w:tc>
          <w:tcPr>
            <w:tcW w:type="dxa" w:w="2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wcb_features</w:t>
            </w:r>
          </w:p>
        </w:tc>
        <w:tc>
          <w:tcPr>
            <w:tcW w:type="dxa" w:w="7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wcb_score, wcb_regime, wcb_alignment, weight_coverage_pct, constituent_count, weighted_advances_pct, weighted_declines_pct, weighted_up_4pct_pct, weighted_down_4pct_pct, weighted_pct_above_10dma, weighted_pct_above_20dma, weighted_pct_above_40dma, weighted_pct_10gt20, weighted_pct_20gt40, source_table, source_ts</w: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5.5  Confirmed Embedded Schema — public.signal_snapshots (output fields)</w:t>
      </w:r>
    </w:p>
    <w:p>
      <w:pPr>
        <w:spacing w:before="55" w:after="55"/>
      </w:pPr>
      <w:r>
        <w:rPr>
          <w:rFonts w:ascii="Arial" w:cs="Arial" w:eastAsia="Arial" w:hAnsi="Arial"/>
          <w:color w:val="404040"/>
          <w:sz w:val="18"/>
          <w:szCs w:val="18"/>
        </w:rPr>
        <w:t xml:space="preserve">No DDL change. Latest inserted rows confirmed the following fields present and populated:</w:t>
      </w:r>
    </w:p>
    <w:p>
      <w:pPr>
        <w:pStyle w:val="ListParagraph"/>
        <w:numPr>
          <w:ilvl w:val="0"/>
          <w:numId w:val="2"/>
        </w:numPr>
        <w:spacing w:before="35" w:after="35"/>
      </w:pPr>
      <w:r>
        <w:rPr>
          <w:rFonts w:ascii="Arial" w:cs="Arial" w:eastAsia="Arial" w:hAnsi="Arial"/>
          <w:b w:val="false"/>
          <w:bCs w:val="false"/>
          <w:color w:val="404040"/>
          <w:sz w:val="18"/>
          <w:szCs w:val="18"/>
        </w:rPr>
        <w:t xml:space="preserve">wcb_regime</w:t>
      </w:r>
    </w:p>
    <w:p>
      <w:pPr>
        <w:pStyle w:val="ListParagraph"/>
        <w:numPr>
          <w:ilvl w:val="0"/>
          <w:numId w:val="2"/>
        </w:numPr>
        <w:spacing w:before="35" w:after="35"/>
      </w:pPr>
      <w:r>
        <w:rPr>
          <w:rFonts w:ascii="Arial" w:cs="Arial" w:eastAsia="Arial" w:hAnsi="Arial"/>
          <w:b w:val="false"/>
          <w:bCs w:val="false"/>
          <w:color w:val="404040"/>
          <w:sz w:val="18"/>
          <w:szCs w:val="18"/>
        </w:rPr>
        <w:t xml:space="preserve">wcb_score</w:t>
      </w:r>
    </w:p>
    <w:p>
      <w:pPr>
        <w:pStyle w:val="ListParagraph"/>
        <w:numPr>
          <w:ilvl w:val="0"/>
          <w:numId w:val="2"/>
        </w:numPr>
        <w:spacing w:before="35" w:after="35"/>
      </w:pPr>
      <w:r>
        <w:rPr>
          <w:rFonts w:ascii="Arial" w:cs="Arial" w:eastAsia="Arial" w:hAnsi="Arial"/>
          <w:b w:val="false"/>
          <w:bCs w:val="false"/>
          <w:color w:val="404040"/>
          <w:sz w:val="18"/>
          <w:szCs w:val="18"/>
        </w:rPr>
        <w:t xml:space="preserve">wcb_alignment</w:t>
      </w:r>
    </w:p>
    <w:p>
      <w:pPr>
        <w:pStyle w:val="ListParagraph"/>
        <w:numPr>
          <w:ilvl w:val="0"/>
          <w:numId w:val="2"/>
        </w:numPr>
        <w:spacing w:before="35" w:after="35"/>
      </w:pPr>
      <w:r>
        <w:rPr>
          <w:rFonts w:ascii="Arial" w:cs="Arial" w:eastAsia="Arial" w:hAnsi="Arial"/>
          <w:b w:val="false"/>
          <w:bCs w:val="false"/>
          <w:color w:val="404040"/>
          <w:sz w:val="18"/>
          <w:szCs w:val="18"/>
        </w:rPr>
        <w:t xml:space="preserve">wcb_weight_coverage_pct</w:t>
      </w:r>
    </w:p>
    <w:p>
      <w:pPr>
        <w:pStyle w:val="ListParagraph"/>
        <w:numPr>
          <w:ilvl w:val="0"/>
          <w:numId w:val="2"/>
        </w:numPr>
        <w:spacing w:before="35" w:after="35"/>
      </w:pPr>
      <w:r>
        <w:rPr>
          <w:rFonts w:ascii="Arial" w:cs="Arial" w:eastAsia="Arial" w:hAnsi="Arial"/>
          <w:b w:val="false"/>
          <w:bCs w:val="false"/>
          <w:color w:val="404040"/>
          <w:sz w:val="18"/>
          <w:szCs w:val="18"/>
        </w:rPr>
        <w:t xml:space="preserve">raw.momentum_direction_debug</w:t>
      </w:r>
    </w:p>
    <w:p>
      <w:pPr>
        <w:pStyle w:val="ListParagraph"/>
        <w:numPr>
          <w:ilvl w:val="0"/>
          <w:numId w:val="2"/>
        </w:numPr>
        <w:spacing w:before="35" w:after="35"/>
      </w:pPr>
      <w:r>
        <w:rPr>
          <w:rFonts w:ascii="Arial" w:cs="Arial" w:eastAsia="Arial" w:hAnsi="Arial"/>
          <w:b w:val="false"/>
          <w:bCs w:val="false"/>
          <w:color w:val="404040"/>
          <w:sz w:val="18"/>
          <w:szCs w:val="18"/>
        </w:rPr>
        <w:t xml:space="preserve">raw.alignment_regime_debug</w:t>
      </w:r>
    </w:p>
    <w:p>
      <w:pPr>
        <w:pStyle w:val="ListParagraph"/>
        <w:numPr>
          <w:ilvl w:val="0"/>
          <w:numId w:val="2"/>
        </w:numPr>
        <w:spacing w:before="35" w:after="35"/>
      </w:pPr>
      <w:r>
        <w:rPr>
          <w:rFonts w:ascii="Arial" w:cs="Arial" w:eastAsia="Arial" w:hAnsi="Arial"/>
          <w:b w:val="false"/>
          <w:bCs w:val="false"/>
          <w:color w:val="404040"/>
          <w:sz w:val="18"/>
          <w:szCs w:val="18"/>
        </w:rPr>
        <w:t xml:space="preserve">raw.premium_state_debug</w:t>
      </w:r>
    </w:p>
    <w:p>
      <w:pPr>
        <w:pStyle w:val="ListParagraph"/>
        <w:numPr>
          <w:ilvl w:val="0"/>
          <w:numId w:val="2"/>
        </w:numPr>
        <w:spacing w:before="35" w:after="35"/>
      </w:pPr>
      <w:r>
        <w:rPr>
          <w:rFonts w:ascii="Arial" w:cs="Arial" w:eastAsia="Arial" w:hAnsi="Arial"/>
          <w:b w:val="false"/>
          <w:bCs w:val="false"/>
          <w:color w:val="404040"/>
          <w:sz w:val="18"/>
          <w:szCs w:val="18"/>
        </w:rPr>
        <w:t xml:space="preserve">raw.directional_edge_state_debug</w:t>
      </w:r>
    </w:p>
    <w:p>
      <w:pPr>
        <w:pStyle w:val="ListParagraph"/>
        <w:numPr>
          <w:ilvl w:val="0"/>
          <w:numId w:val="2"/>
        </w:numPr>
        <w:spacing w:before="35" w:after="35"/>
      </w:pPr>
      <w:r>
        <w:rPr>
          <w:rFonts w:ascii="Arial" w:cs="Arial" w:eastAsia="Arial" w:hAnsi="Arial"/>
          <w:b w:val="false"/>
          <w:bCs w:val="false"/>
          <w:color w:val="404040"/>
          <w:sz w:val="18"/>
          <w:szCs w:val="18"/>
        </w:rPr>
        <w:t xml:space="preserve">raw.signal_mode_debug</w:t>
      </w:r>
    </w:p>
    <w:p>
      <w:pPr>
        <w:pStyle w:val="ListParagraph"/>
        <w:numPr>
          <w:ilvl w:val="0"/>
          <w:numId w:val="2"/>
        </w:numPr>
        <w:spacing w:before="35" w:after="35"/>
      </w:pPr>
      <w:r>
        <w:rPr>
          <w:rFonts w:ascii="Arial" w:cs="Arial" w:eastAsia="Arial" w:hAnsi="Arial"/>
          <w:b w:val="false"/>
          <w:bCs w:val="false"/>
          <w:color w:val="404040"/>
          <w:sz w:val="18"/>
          <w:szCs w:val="18"/>
        </w:rPr>
        <w:t xml:space="preserve">raw.persisted_momentum_regime</w:t>
      </w:r>
    </w:p>
    <w:p>
      <w:pPr>
        <w:pStyle w:val="ListParagraph"/>
        <w:numPr>
          <w:ilvl w:val="0"/>
          <w:numId w:val="2"/>
        </w:numPr>
        <w:spacing w:before="35" w:after="35"/>
      </w:pPr>
      <w:r>
        <w:rPr>
          <w:rFonts w:ascii="Arial" w:cs="Arial" w:eastAsia="Arial" w:hAnsi="Arial"/>
          <w:b w:val="false"/>
          <w:bCs w:val="false"/>
          <w:color w:val="404040"/>
          <w:sz w:val="18"/>
          <w:szCs w:val="18"/>
        </w:rPr>
        <w:t xml:space="preserve">raw.conviction_score_debug</w:t>
      </w:r>
    </w:p>
    <w:p>
      <w:pPr>
        <w:pStyle w:val="ListParagraph"/>
        <w:numPr>
          <w:ilvl w:val="0"/>
          <w:numId w:val="2"/>
        </w:numPr>
        <w:spacing w:before="35" w:after="35"/>
      </w:pPr>
      <w:r>
        <w:rPr>
          <w:rFonts w:ascii="Arial" w:cs="Arial" w:eastAsia="Arial" w:hAnsi="Arial"/>
          <w:b w:val="false"/>
          <w:bCs w:val="false"/>
          <w:color w:val="404040"/>
          <w:sz w:val="18"/>
          <w:szCs w:val="18"/>
        </w:rPr>
        <w:t xml:space="preserve">raw.execution_penalty_debug</w:t>
      </w:r>
    </w:p>
    <w:p>
      <w:pPr>
        <w:spacing w:before="120" w:after="0"/>
      </w:pPr>
      <w:r>
        <w:rPr>
          <w:rFonts w:ascii="Arial" w:cs="Arial" w:eastAsia="Arial" w:hAnsi="Arial"/>
          <w:color w:val="404040"/>
          <w:sz w:val="18"/>
          <w:szCs w:val="18"/>
        </w:rPr>
        <w:t xml:space="preserve"/>
      </w:r>
    </w:p>
    <w:p>
      <w:pPr>
        <w:pBdr>
          <w:bottom w:val="single" w:color="1F3864" w:sz="6" w:space="2"/>
        </w:pBdr>
        <w:spacing w:before="300" w:after="80"/>
      </w:pPr>
      <w:r>
        <w:rPr>
          <w:rFonts w:ascii="Arial" w:cs="Arial" w:eastAsia="Arial" w:hAnsi="Arial"/>
          <w:b/>
          <w:bCs/>
          <w:color w:val="1F3864"/>
          <w:sz w:val="26"/>
          <w:szCs w:val="26"/>
        </w:rPr>
        <w:t xml:space="preserve">6. API and Capture Contracts</w:t>
      </w:r>
    </w:p>
    <w:p>
      <w:pPr>
        <w:pBdr>
          <w:left w:val="single" w:color="2E75B6" w:sz="6" w:space="10"/>
        </w:pBdr>
        <w:spacing w:before="55" w:after="55"/>
        <w:ind w:left="640"/>
      </w:pPr>
      <w:r>
        <w:rPr>
          <w:rFonts w:ascii="Arial" w:cs="Arial" w:eastAsia="Arial" w:hAnsi="Arial"/>
          <w:color w:val="404040"/>
          <w:sz w:val="18"/>
          <w:szCs w:val="18"/>
        </w:rPr>
        <w:t xml:space="preserve">No external API contracts were modified in this session. Both scripts used local reads from Supabase REST only.</w:t>
      </w:r>
    </w:p>
    <w:p>
      <w:pPr>
        <w:spacing w:before="4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6.1  Supabase REST Contract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Property</w:t>
            </w:r>
          </w:p>
        </w:tc>
        <w:tc>
          <w:tcPr>
            <w:tcW w:type="dxa" w:w="68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Detail</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Authentication</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apikey: &lt;SUPABASE_SERVICE_ROLE_KEY&gt;  |  Authorization: Bearer &lt;SUPABASE_SERVICE_ROLE_KEY&gt;</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Read operations</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GET /rest/v1/&lt;table&gt;?select=...</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Write operations</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POST /rest/v1/&lt;table&gt;  with  Prefer: return=representation</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Tables read</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market_state_snapshots, weighted_constituent_breadth_snapshots, gamma_metrics, market_breadth_intraday, volatility_snapshots, market_spot_snapshots, index_futures_snapshots, momentum_snapshots</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Tables written</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market_state_snapshots, signal_snapshots</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7. Execution Chain</w:t>
      </w:r>
    </w:p>
    <w:p>
      <w:pPr>
        <w:spacing w:before="220" w:after="50"/>
      </w:pPr>
      <w:r>
        <w:rPr>
          <w:rFonts w:ascii="Arial" w:cs="Arial" w:eastAsia="Arial" w:hAnsi="Arial"/>
          <w:b/>
          <w:bCs/>
          <w:color w:val="2E75B6"/>
          <w:sz w:val="20"/>
          <w:szCs w:val="20"/>
        </w:rPr>
        <w:t xml:space="preserve">7.1  Chain A — Market State Repair</w:t>
      </w:r>
    </w:p>
    <w:p>
      <w:pPr>
        <w:shd w:fill="F4F6FA" w:val="clear"/>
        <w:spacing w:before="14" w:after="14"/>
        <w:ind w:left="640"/>
      </w:pPr>
      <w:r>
        <w:rPr>
          <w:rFonts w:ascii="Courier New" w:cs="Courier New" w:eastAsia="Courier New" w:hAnsi="Courier New"/>
          <w:color w:val="1a1a2e"/>
          <w:sz w:val="16"/>
          <w:szCs w:val="16"/>
        </w:rPr>
        <w:t xml:space="preserve">python build_market_state_snapshot_local.py NIFTY</w:t>
      </w:r>
    </w:p>
    <w:p>
      <w:pPr>
        <w:shd w:fill="F4F6FA" w:val="clear"/>
        <w:spacing w:before="14" w:after="14"/>
        <w:ind w:left="640"/>
      </w:pPr>
      <w:r>
        <w:rPr>
          <w:rFonts w:ascii="Courier New" w:cs="Courier New" w:eastAsia="Courier New" w:hAnsi="Courier New"/>
          <w:color w:val="1a1a2e"/>
          <w:sz w:val="16"/>
          <w:szCs w:val="16"/>
        </w:rPr>
        <w:t xml:space="preserve">python build_market_state_snapshot_local.py SENSEX</w:t>
      </w:r>
    </w:p>
    <w:p>
      <w:pPr>
        <w:spacing w:before="30" w:after="0"/>
      </w:pPr>
      <w:r>
        <w:rPr>
          <w:rFonts w:ascii="Arial" w:cs="Arial" w:eastAsia="Arial" w:hAnsi="Arial"/>
          <w:color w:val="404040"/>
          <w:sz w:val="18"/>
          <w:szCs w:val="18"/>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c>
          <w:tcPr>
            <w:tcW w:type="dxa" w:w="2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Property</w:t>
            </w:r>
          </w:p>
        </w:tc>
        <w:tc>
          <w:tcPr>
            <w:tcW w:type="dxa" w:w="70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Reads from</w:t>
            </w:r>
          </w:p>
        </w:tc>
        <w:tc>
          <w:tcPr>
            <w:tcW w:type="dxa" w:w="7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public.gamma_metrics, public.market_breadth_intraday, public.volatility_snapshots, public.market_spot_snapshots, public.index_futures_snapshots, public.momentum_snapshots, public.weighted_constituent_breadth_snapshots</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Writes to</w:t>
            </w:r>
          </w:p>
        </w:tc>
        <w:tc>
          <w:tcPr>
            <w:tcW w:type="dxa" w:w="7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public.market_state_snapshots</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Cadence</w:t>
            </w:r>
          </w:p>
        </w:tc>
        <w:tc>
          <w:tcPr>
            <w:tcW w:type="dxa" w:w="7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Manual in this session</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Scheduler ownership</w:t>
            </w:r>
          </w:p>
        </w:tc>
        <w:tc>
          <w:tcPr>
            <w:tcW w:type="dxa" w:w="7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Manual in this session — not yet re-integrated into automated runner</w: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7.2  Chain B — Signal Repair</w:t>
      </w:r>
    </w:p>
    <w:p>
      <w:pPr>
        <w:shd w:fill="F4F6FA" w:val="clear"/>
        <w:spacing w:before="14" w:after="14"/>
        <w:ind w:left="640"/>
      </w:pPr>
      <w:r>
        <w:rPr>
          <w:rFonts w:ascii="Courier New" w:cs="Courier New" w:eastAsia="Courier New" w:hAnsi="Courier New"/>
          <w:color w:val="1a1a2e"/>
          <w:sz w:val="16"/>
          <w:szCs w:val="16"/>
        </w:rPr>
        <w:t xml:space="preserve">python build_trade_signal_local.py NIFTY</w:t>
      </w:r>
    </w:p>
    <w:p>
      <w:pPr>
        <w:shd w:fill="F4F6FA" w:val="clear"/>
        <w:spacing w:before="14" w:after="14"/>
        <w:ind w:left="640"/>
      </w:pPr>
      <w:r>
        <w:rPr>
          <w:rFonts w:ascii="Courier New" w:cs="Courier New" w:eastAsia="Courier New" w:hAnsi="Courier New"/>
          <w:color w:val="1a1a2e"/>
          <w:sz w:val="16"/>
          <w:szCs w:val="16"/>
        </w:rPr>
        <w:t xml:space="preserve">python build_trade_signal_local.py SENSEX</w:t>
      </w:r>
    </w:p>
    <w:p>
      <w:pPr>
        <w:spacing w:before="30" w:after="0"/>
      </w:pPr>
      <w:r>
        <w:rPr>
          <w:rFonts w:ascii="Arial" w:cs="Arial" w:eastAsia="Arial" w:hAnsi="Arial"/>
          <w:color w:val="404040"/>
          <w:sz w:val="18"/>
          <w:szCs w:val="18"/>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c>
          <w:tcPr>
            <w:tcW w:type="dxa" w:w="2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Property</w:t>
            </w:r>
          </w:p>
        </w:tc>
        <w:tc>
          <w:tcPr>
            <w:tcW w:type="dxa" w:w="70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Reads from</w:t>
            </w:r>
          </w:p>
        </w:tc>
        <w:tc>
          <w:tcPr>
            <w:tcW w:type="dxa" w:w="7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public.market_state_snapshots (latest corrected rows)</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Writes to</w:t>
            </w:r>
          </w:p>
        </w:tc>
        <w:tc>
          <w:tcPr>
            <w:tcW w:type="dxa" w:w="7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public.signal_snapshots  |  data/latest_trade_signal_NIFTY.json  |  data/latest_trade_signal_SENSEX.json</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Cadence</w:t>
            </w:r>
          </w:p>
        </w:tc>
        <w:tc>
          <w:tcPr>
            <w:tcW w:type="dxa" w:w="7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Manual in this session</w:t>
            </w:r>
          </w:p>
        </w:tc>
      </w:tr>
      <w:tr>
        <w:tc>
          <w:tcPr>
            <w:tcW w:type="dxa" w:w="2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Scheduler ownership</w:t>
            </w:r>
          </w:p>
        </w:tc>
        <w:tc>
          <w:tcPr>
            <w:tcW w:type="dxa" w:w="7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Manual in this session — not yet re-integrated into automated runner</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8. Validation Results</w:t>
      </w:r>
    </w:p>
    <w:p>
      <w:pPr>
        <w:spacing w:before="220" w:after="50"/>
      </w:pPr>
      <w:r>
        <w:rPr>
          <w:rFonts w:ascii="Arial" w:cs="Arial" w:eastAsia="Arial" w:hAnsi="Arial"/>
          <w:b/>
          <w:bCs/>
          <w:color w:val="2E75B6"/>
          <w:sz w:val="20"/>
          <w:szCs w:val="20"/>
        </w:rPr>
        <w:t xml:space="preserve">8.1  Validation Matrix</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040"/>
      </w:tblGrid>
      <w:tr>
        <w:tc>
          <w:tcPr>
            <w:tcW w:type="dxa" w:w="38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Validation Item</w:t>
            </w:r>
          </w:p>
        </w:tc>
        <w:tc>
          <w:tcPr>
            <w:tcW w:type="dxa" w:w="1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Outcome</w:t>
            </w:r>
          </w:p>
        </w:tc>
        <w:tc>
          <w:tcPr>
            <w:tcW w:type="dxa" w:w="40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Actual Evidence Observed</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schema mismatch identified</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Error explicitly showed: column weighted_constituent_breadth_snapshots.symbol does not exist</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row selection repaired — NIFTY</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Latest market-state row: constituent_count=49, wcb_score=11.237152157898004, weight_coverage_pct=98.86550000000011</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row selection repaired — SENSEX</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Latest market-state row: constituent_count=29, wcb_score=9.042744435625576, weight_coverage_pct=98.27399999999989</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coverage extraction repaired</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Latest state rows no longer null; final signal rows persisted non-null wcb_weight_coverage_pct</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 regime persistence in market state</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Latest market-state rows showed momentum_regime = DOWN for both NIFTY and SENSEX</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Flip distance percentage derivation</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NIFTY flip_distance_pct = 22.999663950264637  |  SENSEX flip_distance_pct = 13.437577453465426</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snapshot WCB persistence</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NIFTY = 98.86550000000011  |  SENSEX = 98.27399999999989</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confidence model diagnosis</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Low-confidence outputs exposed scoring imbalance despite strong directional alignment</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confidence model recalibration</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Final outputs: NIFTY = 38.0  |  SENSEX = 41.0, with debug decomposition visible in raw fields</w:t>
            </w:r>
          </w:p>
        </w:tc>
      </w:tr>
      <w:tr>
        <w:tc>
          <w:tcPr>
            <w:tcW w:type="dxa" w:w="3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JSON outputs refreshed</w:t>
            </w:r>
          </w:p>
        </w:tc>
        <w:tc>
          <w:tcPr>
            <w:tcW w:type="dxa" w:w="1400"/>
            <w:tcBorders>
              <w:top w:val="single" w:color="CCCCCC" w:sz="4"/>
              <w:left w:val="single" w:color="CCCCCC" w:sz="4"/>
              <w:bottom w:val="single" w:color="CCCCCC" w:sz="4"/>
              <w:right w:val="single" w:color="CCCCCC" w:sz="4"/>
            </w:tcBorders>
            <w:shd w:fill="E2EFDA" w:val="clear"/>
            <w:tcMar>
              <w:top w:type="dxa" w:w="55"/>
              <w:left w:type="dxa" w:w="110"/>
              <w:bottom w:type="dxa" w:w="55"/>
              <w:right w:type="dxa" w:w="110"/>
            </w:tcMar>
          </w:tcPr>
          <w:p>
            <w:pPr>
              <w:spacing w:before="35" w:after="35"/>
            </w:pPr>
            <w:r>
              <w:rPr>
                <w:rFonts w:ascii="Arial" w:cs="Arial" w:eastAsia="Arial" w:hAnsi="Arial"/>
                <w:b w:val="false"/>
                <w:bCs w:val="false"/>
                <w:color w:val="375623"/>
                <w:sz w:val="17"/>
                <w:szCs w:val="17"/>
              </w:rPr>
              <w:t xml:space="preserve">✅ PASSED</w:t>
            </w:r>
          </w:p>
        </w:tc>
        <w:tc>
          <w:tcPr>
            <w:tcW w:type="dxa" w:w="4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Both latest JSON files written successfully</w:t>
            </w:r>
          </w:p>
        </w:tc>
      </w:tr>
    </w:tbl>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8.2  Final Validated Outputs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40"/>
      </w:tblGrid>
      <w:tr>
        <w:tc>
          <w:tcPr>
            <w:tcW w:type="dxa" w:w="3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Metric</w:t>
            </w:r>
          </w:p>
        </w:tc>
        <w:tc>
          <w:tcPr>
            <w:tcW w:type="dxa" w:w="3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NIFTY</w:t>
            </w:r>
          </w:p>
        </w:tc>
        <w:tc>
          <w:tcPr>
            <w:tcW w:type="dxa" w:w="30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SENSEX</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wcb_score</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11.237152157898004</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9.042744435625576</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constituent_count</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49</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29</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weight_coverage_pct (market state)</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98.86550000000011</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98.27399999999989</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momentum_regime</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DOWN</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DOWN</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flip_distance_pct</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22.999663950264637</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13.437577453465426</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direction_bias</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BEARISH</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BEARISH</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wcb_alignment</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ALIGNED</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ALIGNED</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wcb_weight_coverage_pct (signal)</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98.86550000000011</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98.27399999999989</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confidence_score</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38.0</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41.0</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conviction_score_debug</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99.0</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92.0</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execution_penalty_debug</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61.0</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51.0</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9. Known Failure Modes and Fixes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40"/>
      </w:tblGrid>
      <w:tr>
        <w:tc>
          <w:tcPr>
            <w:tcW w:type="dxa" w:w="3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Symptom</w:t>
            </w:r>
          </w:p>
        </w:tc>
        <w:tc>
          <w:tcPr>
            <w:tcW w:type="dxa" w:w="30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Root Cause</w:t>
            </w:r>
          </w:p>
        </w:tc>
        <w:tc>
          <w:tcPr>
            <w:tcW w:type="dxa" w:w="32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Fix Applied</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column weighted_constituent_breadth_snapshots.symbol does not exist</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Script assumed WCB table had symbol column</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Rewrote WCB retrieval to fetch recent rows generically and resolve by index_symbol → alternates → constituent_count</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SENSEX market state received NIFTY WCB metrics (constituent_count=49, wcb_score=11.237)</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Fallback row selector too loose</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Tightened WCB selector so index identification happens before generic fallback; constituent_count used only after symbol matching</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weight_coverage_pct stayed null in market state</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Extractor looked for non-existent weight_coverage_pct field</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Added extraction from actual schema sources: active_weight_pct and raw.active_weight_total</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wcb_weight_coverage_pct stayed null in signal snapshots</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Downstream signal file reading stale / null market-state WCB payload</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Rebuilt market state first, then signal snapshots from corrected latest rows</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Older market_state_snapshots showed momentum_regime = null</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Earlier market-state builder version did not persist derived momentum regime</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Rebuilt build_market_state_snapshot_local.py so momentum_regime is derived and persisted</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confidence too low despite strong directional confluence</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Single combined score over-penalized execution blockers</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Reworked signal scoring into conviction vs execution penalty; both exposed as debug fields</w:t>
            </w:r>
          </w:p>
        </w:tc>
      </w:tr>
      <w:tr>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Wrong script contents pasted into wrong file</w:t>
            </w:r>
          </w:p>
        </w:tc>
        <w:tc>
          <w:tcPr>
            <w:tcW w:type="dxa" w:w="30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Full-file replacement workflow can contaminate target if copy/paste is careless</w:t>
            </w:r>
          </w:p>
        </w:tc>
        <w:tc>
          <w:tcPr>
            <w:tcW w:type="dxa" w:w="32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Final stable versions re-established. This remains a standing process risk — verify file identity before replacing.</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10. Decision Log</w:t>
      </w:r>
    </w:p>
    <w:p>
      <w:pPr>
        <w:spacing w:before="220" w:after="50"/>
      </w:pPr>
      <w:r>
        <w:rPr>
          <w:rFonts w:ascii="Arial" w:cs="Arial" w:eastAsia="Arial" w:hAnsi="Arial"/>
          <w:b/>
          <w:bCs/>
          <w:color w:val="2E75B6"/>
          <w:sz w:val="20"/>
          <w:szCs w:val="20"/>
        </w:rPr>
        <w:t xml:space="preserve">10.1  Design Decisions Made in This Session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3640"/>
      </w:tblGrid>
      <w:tr>
        <w:tc>
          <w:tcPr>
            <w:tcW w:type="dxa" w:w="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w:t>
            </w:r>
          </w:p>
        </w:tc>
        <w:tc>
          <w:tcPr>
            <w:tcW w:type="dxa" w:w="28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Decision</w:t>
            </w:r>
          </w:p>
        </w:tc>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Alternative Considered</w:t>
            </w:r>
          </w:p>
        </w:tc>
        <w:tc>
          <w:tcPr>
            <w:tcW w:type="dxa" w:w="36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Why Alternative Rejected</w:t>
            </w:r>
          </w:p>
        </w:tc>
      </w:tr>
      <w:tr>
        <w:tc>
          <w:tcPr>
            <w:tcW w:type="dxa" w:w="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D-1</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row selection must not rely on direct table filter by symbol</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Query weighted_constituent_breadth_snapshots with symbol = eq.&lt;index&gt;</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Table has no symbol column — query would always fail</w:t>
            </w:r>
          </w:p>
        </w:tc>
      </w:tr>
      <w:tr>
        <w:tc>
          <w:tcPr>
            <w:tcW w:type="dxa" w:w="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D-2</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Use index_symbol as primary WCB identity; constituent_count as last-resort fallback</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Infer row purely from constituent_count</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constituent_count is a heuristic fallback, not the canonical identity field</w:t>
            </w:r>
          </w:p>
        </w:tc>
      </w:tr>
      <w:tr>
        <w:tc>
          <w:tcPr>
            <w:tcW w:type="dxa" w:w="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D-3</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Extract weight coverage from actual observed payload — active_weight_pct then raw.active_weight_total</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Standardize on weight_coverage_pct only</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Source table does not expose top-level weight_coverage_pct</w:t>
            </w:r>
          </w:p>
        </w:tc>
      </w:tr>
      <w:tr>
        <w:tc>
          <w:tcPr>
            <w:tcW w:type="dxa" w:w="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D-4</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 state remains the WCB propagation layer — do not re-read WCB in signal engine</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Read WCB again directly in signal engine</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Would duplicate source logic and break the layered state-stack design established in Appendix H</w:t>
            </w:r>
          </w:p>
        </w:tc>
      </w:tr>
      <w:tr>
        <w:tc>
          <w:tcPr>
            <w:tcW w:type="dxa" w:w="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D-5</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Decompose confidence into conviction score and execution penalty with debug visibility</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Keep a single opaque confidence formula</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The opaque model obscured why high-conviction bearish setups still scored low — debugging was impossible</w:t>
            </w:r>
          </w:p>
        </w:tc>
      </w:tr>
      <w:tr>
        <w:tc>
          <w:tcPr>
            <w:tcW w:type="dxa" w:w="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D-6</w:t>
            </w:r>
          </w:p>
        </w:tc>
        <w:tc>
          <w:tcPr>
            <w:tcW w:type="dxa" w:w="2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Preserve execution penalties (DTE, IV) as explicit blockers; do not remove them</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Remove heavy penalties to raise confidence</w:t>
            </w:r>
          </w:p>
        </w:tc>
        <w:tc>
          <w:tcPr>
            <w:tcW w:type="dxa" w:w="3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System is an options-buying decision engine — execution friction is real and must remain explicit and auditable</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11. Stable vs Incomplete State</w:t>
      </w:r>
    </w:p>
    <w:p>
      <w:pPr>
        <w:spacing w:before="220" w:after="50"/>
      </w:pPr>
      <w:r>
        <w:rPr>
          <w:rFonts w:ascii="Arial" w:cs="Arial" w:eastAsia="Arial" w:hAnsi="Arial"/>
          <w:b/>
          <w:bCs/>
          <w:color w:val="2E75B6"/>
          <w:sz w:val="20"/>
          <w:szCs w:val="20"/>
        </w:rPr>
        <w:t xml:space="preserve">11.1  Stable — Do Not Re-investigate</w:t>
      </w:r>
    </w:p>
    <w:p>
      <w:pPr>
        <w:pStyle w:val="ListParagraph"/>
        <w:numPr>
          <w:ilvl w:val="0"/>
          <w:numId w:val="2"/>
        </w:numPr>
        <w:spacing w:before="35" w:after="35"/>
      </w:pPr>
      <w:r>
        <w:rPr>
          <w:rFonts w:ascii="Arial" w:cs="Arial" w:eastAsia="Arial" w:hAnsi="Arial"/>
          <w:b/>
          <w:bCs/>
          <w:color w:val="404040"/>
          <w:sz w:val="18"/>
          <w:szCs w:val="18"/>
        </w:rPr>
        <w:t xml:space="preserve">WCB table identity field is index_symbol, not symbol</w:t>
      </w:r>
    </w:p>
    <w:p>
      <w:pPr>
        <w:pStyle w:val="ListParagraph"/>
        <w:numPr>
          <w:ilvl w:val="0"/>
          <w:numId w:val="2"/>
        </w:numPr>
        <w:spacing w:before="35" w:after="35"/>
      </w:pPr>
      <w:r>
        <w:rPr>
          <w:rFonts w:ascii="Arial" w:cs="Arial" w:eastAsia="Arial" w:hAnsi="Arial"/>
          <w:b/>
          <w:bCs/>
          <w:color w:val="404040"/>
          <w:sz w:val="18"/>
          <w:szCs w:val="18"/>
        </w:rPr>
        <w:t xml:space="preserve">WCB top-level weight coverage source is active_weight_pct</w:t>
      </w:r>
    </w:p>
    <w:p>
      <w:pPr>
        <w:pStyle w:val="ListParagraph"/>
        <w:numPr>
          <w:ilvl w:val="0"/>
          <w:numId w:val="2"/>
        </w:numPr>
        <w:spacing w:before="35" w:after="35"/>
      </w:pPr>
      <w:r>
        <w:rPr>
          <w:rFonts w:ascii="Arial" w:cs="Arial" w:eastAsia="Arial" w:hAnsi="Arial"/>
          <w:b/>
          <w:bCs/>
          <w:color w:val="404040"/>
          <w:sz w:val="18"/>
          <w:szCs w:val="18"/>
        </w:rPr>
        <w:t xml:space="preserve">WCB raw fallback weight coverage source is raw.active_weight_total</w:t>
      </w:r>
    </w:p>
    <w:p>
      <w:pPr>
        <w:pStyle w:val="ListParagraph"/>
        <w:numPr>
          <w:ilvl w:val="0"/>
          <w:numId w:val="2"/>
        </w:numPr>
        <w:spacing w:before="35" w:after="35"/>
      </w:pPr>
      <w:r>
        <w:rPr>
          <w:rFonts w:ascii="Arial" w:cs="Arial" w:eastAsia="Arial" w:hAnsi="Arial"/>
          <w:b/>
          <w:bCs/>
          <w:color w:val="404040"/>
          <w:sz w:val="18"/>
          <w:szCs w:val="18"/>
        </w:rPr>
        <w:t xml:space="preserve">Market state now persists correct index-specific WCB payload</w:t>
      </w:r>
    </w:p>
    <w:p>
      <w:pPr>
        <w:pStyle w:val="ListParagraph"/>
        <w:numPr>
          <w:ilvl w:val="0"/>
          <w:numId w:val="2"/>
        </w:numPr>
        <w:spacing w:before="35" w:after="35"/>
      </w:pPr>
      <w:r>
        <w:rPr>
          <w:rFonts w:ascii="Arial" w:cs="Arial" w:eastAsia="Arial" w:hAnsi="Arial"/>
          <w:b/>
          <w:bCs/>
          <w:color w:val="404040"/>
          <w:sz w:val="18"/>
          <w:szCs w:val="18"/>
        </w:rPr>
        <w:t xml:space="preserve">Signal snapshots now persist non-null wcb_weight_coverage_pct</w:t>
      </w:r>
    </w:p>
    <w:p>
      <w:pPr>
        <w:pStyle w:val="ListParagraph"/>
        <w:numPr>
          <w:ilvl w:val="0"/>
          <w:numId w:val="2"/>
        </w:numPr>
        <w:spacing w:before="35" w:after="35"/>
      </w:pPr>
      <w:r>
        <w:rPr>
          <w:rFonts w:ascii="Arial" w:cs="Arial" w:eastAsia="Arial" w:hAnsi="Arial"/>
          <w:b/>
          <w:bCs/>
          <w:color w:val="404040"/>
          <w:sz w:val="18"/>
          <w:szCs w:val="18"/>
        </w:rPr>
        <w:t xml:space="preserve">Momentum regime is now present in latest market-state rows (= DOWN for both)</w:t>
      </w:r>
    </w:p>
    <w:p>
      <w:pPr>
        <w:pStyle w:val="ListParagraph"/>
        <w:numPr>
          <w:ilvl w:val="0"/>
          <w:numId w:val="2"/>
        </w:numPr>
        <w:spacing w:before="35" w:after="35"/>
      </w:pPr>
      <w:r>
        <w:rPr>
          <w:rFonts w:ascii="Arial" w:cs="Arial" w:eastAsia="Arial" w:hAnsi="Arial"/>
          <w:b/>
          <w:bCs/>
          <w:color w:val="404040"/>
          <w:sz w:val="18"/>
          <w:szCs w:val="18"/>
        </w:rPr>
        <w:t xml:space="preserve">Flip distance percentage is now computed in market state when absent upstream</w:t>
      </w:r>
    </w:p>
    <w:p>
      <w:pPr>
        <w:pStyle w:val="ListParagraph"/>
        <w:numPr>
          <w:ilvl w:val="0"/>
          <w:numId w:val="2"/>
        </w:numPr>
        <w:spacing w:before="35" w:after="35"/>
      </w:pPr>
      <w:r>
        <w:rPr>
          <w:rFonts w:ascii="Arial" w:cs="Arial" w:eastAsia="Arial" w:hAnsi="Arial"/>
          <w:b/>
          <w:bCs/>
          <w:color w:val="404040"/>
          <w:sz w:val="18"/>
          <w:szCs w:val="18"/>
        </w:rPr>
        <w:t xml:space="preserve">Signal engine reads repaired state rows correctly</w:t>
      </w:r>
    </w:p>
    <w:p>
      <w:pPr>
        <w:pStyle w:val="ListParagraph"/>
        <w:numPr>
          <w:ilvl w:val="0"/>
          <w:numId w:val="2"/>
        </w:numPr>
        <w:spacing w:before="35" w:after="35"/>
      </w:pPr>
      <w:r>
        <w:rPr>
          <w:rFonts w:ascii="Arial" w:cs="Arial" w:eastAsia="Arial" w:hAnsi="Arial"/>
          <w:b/>
          <w:bCs/>
          <w:color w:val="404040"/>
          <w:sz w:val="18"/>
          <w:szCs w:val="18"/>
        </w:rPr>
        <w:t xml:space="preserve">Latest stable signal outputs for both indices are internally coherent</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11.2  Incomplete — Known Gaps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400"/>
        <w:gridCol w:w="3040"/>
      </w:tblGrid>
      <w:tr>
        <w:tc>
          <w:tcPr>
            <w:tcW w:type="dxa" w:w="36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Item</w:t>
            </w:r>
          </w:p>
        </w:tc>
        <w:tc>
          <w:tcPr>
            <w:tcW w:type="dxa" w:w="1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Priority</w:t>
            </w:r>
          </w:p>
        </w:tc>
        <w:tc>
          <w:tcPr>
            <w:tcW w:type="dxa" w:w="1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Blocking?</w:t>
            </w:r>
          </w:p>
        </w:tc>
        <w:tc>
          <w:tcPr>
            <w:tcW w:type="dxa" w:w="30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Confidence formula calibration not yet finalized as a production decision model</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HIGH</w:t>
            </w:r>
          </w:p>
        </w:tc>
        <w:tc>
          <w:tcPr>
            <w:tcW w:type="dxa" w:w="1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 — but affects signal interpretation quality</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Structurally improved this session; penalty weights and thresholds still need policy review</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Older market_state_snapshots / signal_snapshots rows remain historically null for WCB coverage</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Historical rows before this fix are expected to remain null unless backfilled</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 explicit dedupe / upsert protection on repeated manual reruns of same timestamp</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Session repeatedly inserted fresh rows with same ts but new created_at — no upsert key enforced</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alignment still derived in signal layer rather than persisted upstream in WCB table</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LOW</w:t>
            </w:r>
          </w:p>
        </w:tc>
        <w:tc>
          <w:tcPr>
            <w:tcW w:type="dxa" w:w="1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Acceptable for now — can be moved upstream when WCB framework is next extended</w:t>
            </w:r>
          </w:p>
        </w:tc>
      </w:tr>
      <w:tr>
        <w:tc>
          <w:tcPr>
            <w:tcW w:type="dxa" w:w="36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Confidence model policy relative to future execution layer / regret log remains unresolved</w:t>
            </w:r>
          </w:p>
        </w:tc>
        <w:tc>
          <w:tcPr>
            <w:tcW w:type="dxa" w:w="1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HIGH</w:t>
            </w:r>
          </w:p>
        </w:tc>
        <w:tc>
          <w:tcPr>
            <w:tcW w:type="dxa" w:w="1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Not blocking current repair — blocks long-term threshold governance</w:t>
            </w:r>
          </w:p>
        </w:tc>
        <w:tc>
          <w:tcPr>
            <w:tcW w:type="dxa" w:w="3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Must align with Master V16 roadmap; signal_regret_log must be built before threshold changes</w:t>
            </w:r>
          </w:p>
        </w:tc>
      </w:tr>
    </w:tbl>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12. Resume Checkpoint</w:t>
      </w:r>
    </w:p>
    <w:p>
      <w:pPr>
        <w:spacing w:before="220" w:after="50"/>
      </w:pPr>
      <w:r>
        <w:rPr>
          <w:rFonts w:ascii="Arial" w:cs="Arial" w:eastAsia="Arial" w:hAnsi="Arial"/>
          <w:b/>
          <w:bCs/>
          <w:color w:val="2E75B6"/>
          <w:sz w:val="20"/>
          <w:szCs w:val="20"/>
        </w:rPr>
        <w:t xml:space="preserve">12.1  Settled Facts — Do Not Re-investigate</w:t>
      </w:r>
    </w:p>
    <w:p>
      <w:pPr>
        <w:pStyle w:val="ListParagraph"/>
        <w:numPr>
          <w:ilvl w:val="0"/>
          <w:numId w:val="2"/>
        </w:numPr>
        <w:spacing w:before="35" w:after="35"/>
      </w:pPr>
      <w:r>
        <w:rPr>
          <w:rFonts w:ascii="Arial" w:cs="Arial" w:eastAsia="Arial" w:hAnsi="Arial"/>
          <w:b w:val="false"/>
          <w:bCs w:val="false"/>
          <w:color w:val="404040"/>
          <w:sz w:val="18"/>
          <w:szCs w:val="18"/>
        </w:rPr>
        <w:t xml:space="preserve">weighted_constituent_breadth_snapshots does NOT have a symbol column</w:t>
      </w:r>
    </w:p>
    <w:p>
      <w:pPr>
        <w:pStyle w:val="ListParagraph"/>
        <w:numPr>
          <w:ilvl w:val="0"/>
          <w:numId w:val="2"/>
        </w:numPr>
        <w:spacing w:before="35" w:after="35"/>
      </w:pPr>
      <w:r>
        <w:rPr>
          <w:rFonts w:ascii="Arial" w:cs="Arial" w:eastAsia="Arial" w:hAnsi="Arial"/>
          <w:b w:val="false"/>
          <w:bCs w:val="false"/>
          <w:color w:val="404040"/>
          <w:sz w:val="18"/>
          <w:szCs w:val="18"/>
        </w:rPr>
        <w:t xml:space="preserve">Correct WCB identity field is index_symbol</w:t>
      </w:r>
    </w:p>
    <w:p>
      <w:pPr>
        <w:pStyle w:val="ListParagraph"/>
        <w:numPr>
          <w:ilvl w:val="0"/>
          <w:numId w:val="2"/>
        </w:numPr>
        <w:spacing w:before="35" w:after="35"/>
      </w:pPr>
      <w:r>
        <w:rPr>
          <w:rFonts w:ascii="Arial" w:cs="Arial" w:eastAsia="Arial" w:hAnsi="Arial"/>
          <w:b w:val="false"/>
          <w:bCs w:val="false"/>
          <w:color w:val="404040"/>
          <w:sz w:val="18"/>
          <w:szCs w:val="18"/>
        </w:rPr>
        <w:t xml:space="preserve">Correct WCB top-level coverage field is active_weight_pct</w:t>
      </w:r>
    </w:p>
    <w:p>
      <w:pPr>
        <w:pStyle w:val="ListParagraph"/>
        <w:numPr>
          <w:ilvl w:val="0"/>
          <w:numId w:val="2"/>
        </w:numPr>
        <w:spacing w:before="35" w:after="35"/>
      </w:pPr>
      <w:r>
        <w:rPr>
          <w:rFonts w:ascii="Arial" w:cs="Arial" w:eastAsia="Arial" w:hAnsi="Arial"/>
          <w:b w:val="false"/>
          <w:bCs w:val="false"/>
          <w:color w:val="404040"/>
          <w:sz w:val="18"/>
          <w:szCs w:val="18"/>
        </w:rPr>
        <w:t xml:space="preserve">Correct WCB fallback coverage field is raw.active_weight_total</w:t>
      </w:r>
    </w:p>
    <w:p>
      <w:pPr>
        <w:pStyle w:val="ListParagraph"/>
        <w:numPr>
          <w:ilvl w:val="0"/>
          <w:numId w:val="2"/>
        </w:numPr>
        <w:spacing w:before="35" w:after="35"/>
      </w:pPr>
      <w:r>
        <w:rPr>
          <w:rFonts w:ascii="Arial" w:cs="Arial" w:eastAsia="Arial" w:hAnsi="Arial"/>
          <w:b w:val="false"/>
          <w:bCs w:val="false"/>
          <w:color w:val="404040"/>
          <w:sz w:val="18"/>
          <w:szCs w:val="18"/>
        </w:rPr>
        <w:t xml:space="preserve">Latest corrected market-state rows: NIFTY weight_coverage_pct = 98.86550000000011  |  SENSEX = 98.27399999999989</w:t>
      </w:r>
    </w:p>
    <w:p>
      <w:pPr>
        <w:pStyle w:val="ListParagraph"/>
        <w:numPr>
          <w:ilvl w:val="0"/>
          <w:numId w:val="2"/>
        </w:numPr>
        <w:spacing w:before="35" w:after="35"/>
      </w:pPr>
      <w:r>
        <w:rPr>
          <w:rFonts w:ascii="Arial" w:cs="Arial" w:eastAsia="Arial" w:hAnsi="Arial"/>
          <w:b w:val="false"/>
          <w:bCs w:val="false"/>
          <w:color w:val="404040"/>
          <w:sz w:val="18"/>
          <w:szCs w:val="18"/>
        </w:rPr>
        <w:t xml:space="preserve">Latest corrected signal rows persist those same coverage values</w:t>
      </w:r>
    </w:p>
    <w:p>
      <w:pPr>
        <w:pStyle w:val="ListParagraph"/>
        <w:numPr>
          <w:ilvl w:val="0"/>
          <w:numId w:val="2"/>
        </w:numPr>
        <w:spacing w:before="35" w:after="35"/>
      </w:pPr>
      <w:r>
        <w:rPr>
          <w:rFonts w:ascii="Arial" w:cs="Arial" w:eastAsia="Arial" w:hAnsi="Arial"/>
          <w:b w:val="false"/>
          <w:bCs w:val="false"/>
          <w:color w:val="404040"/>
          <w:sz w:val="18"/>
          <w:szCs w:val="18"/>
        </w:rPr>
        <w:t xml:space="preserve">momentum_regime = DOWN is present in latest corrected market-state rows for both instruments</w:t>
      </w:r>
    </w:p>
    <w:p>
      <w:pPr>
        <w:pStyle w:val="ListParagraph"/>
        <w:numPr>
          <w:ilvl w:val="0"/>
          <w:numId w:val="2"/>
        </w:numPr>
        <w:spacing w:before="35" w:after="35"/>
      </w:pPr>
      <w:r>
        <w:rPr>
          <w:rFonts w:ascii="Arial" w:cs="Arial" w:eastAsia="Arial" w:hAnsi="Arial"/>
          <w:b w:val="false"/>
          <w:bCs w:val="false"/>
          <w:color w:val="404040"/>
          <w:sz w:val="18"/>
          <w:szCs w:val="18"/>
        </w:rPr>
        <w:t xml:space="preserve">Confidence scoring is now decomposed into conviction_score_debug and execution_penalty_debug</w:t>
      </w:r>
    </w:p>
    <w:p>
      <w:pPr>
        <w:pStyle w:val="ListParagraph"/>
        <w:numPr>
          <w:ilvl w:val="0"/>
          <w:numId w:val="2"/>
        </w:numPr>
        <w:spacing w:before="35" w:after="35"/>
      </w:pPr>
      <w:r>
        <w:rPr>
          <w:rFonts w:ascii="Arial" w:cs="Arial" w:eastAsia="Arial" w:hAnsi="Arial"/>
          <w:b w:val="false"/>
          <w:bCs w:val="false"/>
          <w:color w:val="404040"/>
          <w:sz w:val="18"/>
          <w:szCs w:val="18"/>
        </w:rPr>
        <w:t xml:space="preserve">Final latest confidence outputs: NIFTY = 38.0  |  SENSEX = 41.0</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12.2  Next Immediate Task</w:t>
      </w:r>
    </w:p>
    <w:p>
      <w:pPr>
        <w:pBdr>
          <w:left w:val="single" w:color="2E75B6" w:sz="12" w:space="10"/>
        </w:pBdr>
        <w:spacing w:before="70" w:after="70"/>
        <w:ind w:left="640"/>
      </w:pPr>
      <w:r>
        <w:rPr>
          <w:rFonts w:ascii="Arial" w:cs="Arial" w:eastAsia="Arial" w:hAnsi="Arial"/>
          <w:i/>
          <w:iCs/>
          <w:color w:val="1F3864"/>
          <w:sz w:val="18"/>
          <w:szCs w:val="18"/>
        </w:rPr>
        <w:t xml:space="preserve">Stabilize and document the confidence model policy so that MERDIAN distinguishes clearly between directional conviction and tradeability for options buyers, without allowing DTE / IV penalties to make strong bearish structures look falsely weak.</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12.3  Resume Prompt</w:t>
      </w:r>
    </w:p>
    <w:p>
      <w:pPr>
        <w:spacing w:before="55" w:after="55"/>
      </w:pPr>
      <w:r>
        <w:rPr>
          <w:rFonts w:ascii="Arial" w:cs="Arial" w:eastAsia="Arial" w:hAnsi="Arial"/>
          <w:color w:val="404040"/>
          <w:sz w:val="18"/>
          <w:szCs w:val="18"/>
        </w:rPr>
        <w:t xml:space="preserve">Paste the following at the start of a new chat session to restore full context:</w:t>
      </w:r>
    </w:p>
    <w:p>
      <w:pPr>
        <w:spacing w:before="20" w:after="0"/>
      </w:pPr>
      <w:r>
        <w:rPr>
          <w:rFonts w:ascii="Arial" w:cs="Arial" w:eastAsia="Arial" w:hAnsi="Arial"/>
          <w:color w:val="404040"/>
          <w:sz w:val="18"/>
          <w:szCs w:val="18"/>
        </w:rPr>
        <w:t xml:space="preserve"/>
      </w:r>
    </w:p>
    <w:p>
      <w:pPr>
        <w:pBdr>
          <w:left w:val="single" w:color="2E75B6" w:sz="12" w:space="10"/>
        </w:pBdr>
        <w:shd w:fill="EEF5FB" w:val="clear"/>
        <w:spacing w:before="70" w:after="70"/>
        <w:ind w:left="640"/>
      </w:pPr>
      <w:r>
        <w:rPr>
          <w:rFonts w:ascii="Arial" w:cs="Arial" w:eastAsia="Arial" w:hAnsi="Arial"/>
          <w:i/>
          <w:iCs/>
          <w:color w:val="1F3864"/>
          <w:sz w:val="18"/>
          <w:szCs w:val="18"/>
        </w:rPr>
        <w:t xml:space="preserve">We are continuing MERDIAN from Appendix 16B. Do not re-investigate the WCB null issue — that is fixed. The key settled facts are: weighted_constituent_breadth_snapshots uses index_symbol, not symbol; weight coverage comes from active_weight_pct or raw.active_weight_total; build_market_state_snapshot_local.py now persists correct index-specific WCB payload and non-null weight_coverage_pct; build_trade_signal_local.py now persists non-null wcb_weight_coverage_pct; latest values are NIFTY 98.86550000000011 and SENSEX 98.27399999999989. Latest corrected market-state rows also persist momentum_regime = DOWN. The remaining task is confidence-model hardening: preserve strong directional conviction while keeping execution blockers explicit, so options-buyer tradeability is represented correctly without understating structural bearish strength. Use full file replacements only.</w:t>
      </w:r>
    </w:p>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13. Functional Narration</w:t>
      </w:r>
    </w:p>
    <w:p>
      <w:pPr>
        <w:spacing w:before="55" w:after="55"/>
      </w:pPr>
      <w:r>
        <w:rPr>
          <w:rFonts w:ascii="Arial" w:cs="Arial" w:eastAsia="Arial" w:hAnsi="Arial"/>
          <w:color w:val="404040"/>
          <w:sz w:val="18"/>
          <w:szCs w:val="18"/>
        </w:rPr>
        <w:t xml:space="preserve">This section explains not just what was done but why it matters architecturally and what it enables downstream.</w:t>
      </w:r>
    </w:p>
    <w:p>
      <w:pPr>
        <w:spacing w:before="4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13.1  WCB Propagation Repair</w:t>
      </w:r>
    </w:p>
    <w:p>
      <w:pPr>
        <w:spacing w:before="140" w:after="35"/>
      </w:pPr>
      <w:r>
        <w:rPr>
          <w:rFonts w:ascii="Arial" w:cs="Arial" w:eastAsia="Arial" w:hAnsi="Arial"/>
          <w:b/>
          <w:bCs/>
          <w:color w:val="1F3864"/>
          <w:sz w:val="18"/>
          <w:szCs w:val="18"/>
        </w:rPr>
        <w:t xml:space="preserve">What it does</w:t>
      </w:r>
    </w:p>
    <w:p>
      <w:pPr>
        <w:spacing w:before="55" w:after="55"/>
      </w:pPr>
      <w:r>
        <w:rPr>
          <w:rFonts w:ascii="Arial" w:cs="Arial" w:eastAsia="Arial" w:hAnsi="Arial"/>
          <w:color w:val="404040"/>
          <w:sz w:val="18"/>
          <w:szCs w:val="18"/>
        </w:rPr>
        <w:t xml:space="preserve">Ensures that the correct weighted constituent breadth row for each index flows into market_state_snapshots and from there into signal_snapshots.</w:t>
      </w:r>
    </w:p>
    <w:p>
      <w:pPr>
        <w:spacing w:before="140" w:after="35"/>
      </w:pPr>
      <w:r>
        <w:rPr>
          <w:rFonts w:ascii="Arial" w:cs="Arial" w:eastAsia="Arial" w:hAnsi="Arial"/>
          <w:b/>
          <w:bCs/>
          <w:color w:val="1F3864"/>
          <w:sz w:val="18"/>
          <w:szCs w:val="18"/>
        </w:rPr>
        <w:t xml:space="preserve">Why it matters architecturally</w:t>
      </w:r>
    </w:p>
    <w:p>
      <w:pPr>
        <w:spacing w:before="55" w:after="55"/>
      </w:pPr>
      <w:r>
        <w:rPr>
          <w:rFonts w:ascii="Arial" w:cs="Arial" w:eastAsia="Arial" w:hAnsi="Arial"/>
          <w:color w:val="404040"/>
          <w:sz w:val="18"/>
          <w:szCs w:val="18"/>
        </w:rPr>
        <w:t xml:space="preserve">WCB is MERDIAN's index-weight-aware confirmation layer. If the wrong WCB row is attached, or if coverage is null, the state stack can appear structurally valid while actually carrying the wrong index-level confirmation context. The entire confidence model depends on this being correct.</w:t>
      </w:r>
    </w:p>
    <w:p>
      <w:pPr>
        <w:spacing w:before="140" w:after="35"/>
      </w:pPr>
      <w:r>
        <w:rPr>
          <w:rFonts w:ascii="Arial" w:cs="Arial" w:eastAsia="Arial" w:hAnsi="Arial"/>
          <w:b/>
          <w:bCs/>
          <w:color w:val="1F3864"/>
          <w:sz w:val="18"/>
          <w:szCs w:val="18"/>
        </w:rPr>
        <w:t xml:space="preserve">What it enables downstream</w:t>
      </w:r>
    </w:p>
    <w:p>
      <w:pPr>
        <w:pStyle w:val="ListParagraph"/>
        <w:numPr>
          <w:ilvl w:val="0"/>
          <w:numId w:val="2"/>
        </w:numPr>
        <w:spacing w:before="35" w:after="35"/>
      </w:pPr>
      <w:r>
        <w:rPr>
          <w:rFonts w:ascii="Arial" w:cs="Arial" w:eastAsia="Arial" w:hAnsi="Arial"/>
          <w:b w:val="false"/>
          <w:bCs w:val="false"/>
          <w:color w:val="404040"/>
          <w:sz w:val="18"/>
          <w:szCs w:val="18"/>
        </w:rPr>
        <w:t xml:space="preserve">Downstream logic can correctly interpret whether WCB agrees with breadth and momentum</w:t>
      </w:r>
    </w:p>
    <w:p>
      <w:pPr>
        <w:pStyle w:val="ListParagraph"/>
        <w:numPr>
          <w:ilvl w:val="0"/>
          <w:numId w:val="2"/>
        </w:numPr>
        <w:spacing w:before="35" w:after="35"/>
      </w:pPr>
      <w:r>
        <w:rPr>
          <w:rFonts w:ascii="Arial" w:cs="Arial" w:eastAsia="Arial" w:hAnsi="Arial"/>
          <w:b w:val="false"/>
          <w:bCs w:val="false"/>
          <w:color w:val="404040"/>
          <w:sz w:val="18"/>
          <w:szCs w:val="18"/>
        </w:rPr>
        <w:t xml:space="preserve">Coverage completeness is now visible — a bearish WCB reading at 98% coverage is far more trustworthy than one at 40%</w:t>
      </w:r>
    </w:p>
    <w:p>
      <w:pPr>
        <w:pStyle w:val="ListParagraph"/>
        <w:numPr>
          <w:ilvl w:val="0"/>
          <w:numId w:val="2"/>
        </w:numPr>
        <w:spacing w:before="35" w:after="35"/>
      </w:pPr>
      <w:r>
        <w:rPr>
          <w:rFonts w:ascii="Arial" w:cs="Arial" w:eastAsia="Arial" w:hAnsi="Arial"/>
          <w:b w:val="false"/>
          <w:bCs w:val="false"/>
          <w:color w:val="404040"/>
          <w:sz w:val="18"/>
          <w:szCs w:val="18"/>
        </w:rPr>
        <w:t xml:space="preserve">Confidence can receive a structural boost from high coverage and aligned weighted breadth</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13.2  Weight Coverage Persistence</w:t>
      </w:r>
    </w:p>
    <w:p>
      <w:pPr>
        <w:spacing w:before="140" w:after="35"/>
      </w:pPr>
      <w:r>
        <w:rPr>
          <w:rFonts w:ascii="Arial" w:cs="Arial" w:eastAsia="Arial" w:hAnsi="Arial"/>
          <w:b/>
          <w:bCs/>
          <w:color w:val="1F3864"/>
          <w:sz w:val="18"/>
          <w:szCs w:val="18"/>
        </w:rPr>
        <w:t xml:space="preserve">What it does</w:t>
      </w:r>
    </w:p>
    <w:p>
      <w:pPr>
        <w:spacing w:before="55" w:after="55"/>
      </w:pPr>
      <w:r>
        <w:rPr>
          <w:rFonts w:ascii="Arial" w:cs="Arial" w:eastAsia="Arial" w:hAnsi="Arial"/>
          <w:color w:val="404040"/>
          <w:sz w:val="18"/>
          <w:szCs w:val="18"/>
        </w:rPr>
        <w:t xml:space="preserve">Persists actual WCB coverage into the state and signal layers so that every downstream consumer has access to coverage completeness.</w:t>
      </w:r>
    </w:p>
    <w:p>
      <w:pPr>
        <w:spacing w:before="140" w:after="35"/>
      </w:pPr>
      <w:r>
        <w:rPr>
          <w:rFonts w:ascii="Arial" w:cs="Arial" w:eastAsia="Arial" w:hAnsi="Arial"/>
          <w:b/>
          <w:bCs/>
          <w:color w:val="1F3864"/>
          <w:sz w:val="18"/>
          <w:szCs w:val="18"/>
        </w:rPr>
        <w:t xml:space="preserve">Why it matters architecturally</w:t>
      </w:r>
    </w:p>
    <w:p>
      <w:pPr>
        <w:spacing w:before="55" w:after="55"/>
      </w:pPr>
      <w:r>
        <w:rPr>
          <w:rFonts w:ascii="Arial" w:cs="Arial" w:eastAsia="Arial" w:hAnsi="Arial"/>
          <w:color w:val="404040"/>
          <w:sz w:val="18"/>
          <w:szCs w:val="18"/>
        </w:rPr>
        <w:t xml:space="preserve">WCB without coverage is incomplete context. Coverage is the quality indicator of the WCB reading — not just the reading itself.</w:t>
      </w:r>
    </w:p>
    <w:p>
      <w:pPr>
        <w:spacing w:before="140" w:after="35"/>
      </w:pPr>
      <w:r>
        <w:rPr>
          <w:rFonts w:ascii="Arial" w:cs="Arial" w:eastAsia="Arial" w:hAnsi="Arial"/>
          <w:b/>
          <w:bCs/>
          <w:color w:val="1F3864"/>
          <w:sz w:val="18"/>
          <w:szCs w:val="18"/>
        </w:rPr>
        <w:t xml:space="preserve">What it enables downstream</w:t>
      </w:r>
    </w:p>
    <w:p>
      <w:pPr>
        <w:pStyle w:val="ListParagraph"/>
        <w:numPr>
          <w:ilvl w:val="0"/>
          <w:numId w:val="2"/>
        </w:numPr>
        <w:spacing w:before="35" w:after="35"/>
      </w:pPr>
      <w:r>
        <w:rPr>
          <w:rFonts w:ascii="Arial" w:cs="Arial" w:eastAsia="Arial" w:hAnsi="Arial"/>
          <w:b w:val="false"/>
          <w:bCs w:val="false"/>
          <w:color w:val="404040"/>
          <w:sz w:val="18"/>
          <w:szCs w:val="18"/>
        </w:rPr>
        <w:t xml:space="preserve">Confidence weighting by WCB completeness</w:t>
      </w:r>
    </w:p>
    <w:p>
      <w:pPr>
        <w:pStyle w:val="ListParagraph"/>
        <w:numPr>
          <w:ilvl w:val="0"/>
          <w:numId w:val="2"/>
        </w:numPr>
        <w:spacing w:before="35" w:after="35"/>
      </w:pPr>
      <w:r>
        <w:rPr>
          <w:rFonts w:ascii="Arial" w:cs="Arial" w:eastAsia="Arial" w:hAnsi="Arial"/>
          <w:b w:val="false"/>
          <w:bCs w:val="false"/>
          <w:color w:val="404040"/>
          <w:sz w:val="18"/>
          <w:szCs w:val="18"/>
        </w:rPr>
        <w:t xml:space="preserve">Auditability of WCB trustworthiness at each signal point</w:t>
      </w:r>
    </w:p>
    <w:p>
      <w:pPr>
        <w:pStyle w:val="ListParagraph"/>
        <w:numPr>
          <w:ilvl w:val="0"/>
          <w:numId w:val="2"/>
        </w:numPr>
        <w:spacing w:before="35" w:after="35"/>
      </w:pPr>
      <w:r>
        <w:rPr>
          <w:rFonts w:ascii="Arial" w:cs="Arial" w:eastAsia="Arial" w:hAnsi="Arial"/>
          <w:b w:val="false"/>
          <w:bCs w:val="false"/>
          <w:color w:val="404040"/>
          <w:sz w:val="18"/>
          <w:szCs w:val="18"/>
        </w:rPr>
        <w:t xml:space="preserve">Future filtering rules such as 'ignore WCB regime if coverage falls below threshold'</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13.3  Momentum Regime Persistence Into Market State</w:t>
      </w:r>
    </w:p>
    <w:p>
      <w:pPr>
        <w:spacing w:before="140" w:after="35"/>
      </w:pPr>
      <w:r>
        <w:rPr>
          <w:rFonts w:ascii="Arial" w:cs="Arial" w:eastAsia="Arial" w:hAnsi="Arial"/>
          <w:b/>
          <w:bCs/>
          <w:color w:val="1F3864"/>
          <w:sz w:val="18"/>
          <w:szCs w:val="18"/>
        </w:rPr>
        <w:t xml:space="preserve">What it does</w:t>
      </w:r>
    </w:p>
    <w:p>
      <w:pPr>
        <w:spacing w:before="55" w:after="55"/>
      </w:pPr>
      <w:r>
        <w:rPr>
          <w:rFonts w:ascii="Arial" w:cs="Arial" w:eastAsia="Arial" w:hAnsi="Arial"/>
          <w:color w:val="404040"/>
          <w:sz w:val="18"/>
          <w:szCs w:val="18"/>
        </w:rPr>
        <w:t xml:space="preserve">Ensures that momentum interpretation is stored in the market-state layer rather than having to be re-inferred downstream.</w:t>
      </w:r>
    </w:p>
    <w:p>
      <w:pPr>
        <w:spacing w:before="140" w:after="35"/>
      </w:pPr>
      <w:r>
        <w:rPr>
          <w:rFonts w:ascii="Arial" w:cs="Arial" w:eastAsia="Arial" w:hAnsi="Arial"/>
          <w:b/>
          <w:bCs/>
          <w:color w:val="1F3864"/>
          <w:sz w:val="18"/>
          <w:szCs w:val="18"/>
        </w:rPr>
        <w:t xml:space="preserve">Why it matters architecturally</w:t>
      </w:r>
    </w:p>
    <w:p>
      <w:pPr>
        <w:spacing w:before="55" w:after="55"/>
      </w:pPr>
      <w:r>
        <w:rPr>
          <w:rFonts w:ascii="Arial" w:cs="Arial" w:eastAsia="Arial" w:hAnsi="Arial"/>
          <w:color w:val="404040"/>
          <w:sz w:val="18"/>
          <w:szCs w:val="18"/>
        </w:rPr>
        <w:t xml:space="preserve">The market-state layer is MERDIAN's unified interpretation layer. If momentum_regime is missing there, downstream layers lose a stable interpretation anchor and can drift across script versions or restarts.</w:t>
      </w:r>
    </w:p>
    <w:p>
      <w:pPr>
        <w:spacing w:before="140" w:after="35"/>
      </w:pPr>
      <w:r>
        <w:rPr>
          <w:rFonts w:ascii="Arial" w:cs="Arial" w:eastAsia="Arial" w:hAnsi="Arial"/>
          <w:b/>
          <w:bCs/>
          <w:color w:val="1F3864"/>
          <w:sz w:val="18"/>
          <w:szCs w:val="18"/>
        </w:rPr>
        <w:t xml:space="preserve">What it enables downstream</w:t>
      </w:r>
    </w:p>
    <w:p>
      <w:pPr>
        <w:pStyle w:val="ListParagraph"/>
        <w:numPr>
          <w:ilvl w:val="0"/>
          <w:numId w:val="2"/>
        </w:numPr>
        <w:spacing w:before="35" w:after="35"/>
      </w:pPr>
      <w:r>
        <w:rPr>
          <w:rFonts w:ascii="Arial" w:cs="Arial" w:eastAsia="Arial" w:hAnsi="Arial"/>
          <w:b w:val="false"/>
          <w:bCs w:val="false"/>
          <w:color w:val="404040"/>
          <w:sz w:val="18"/>
          <w:szCs w:val="18"/>
        </w:rPr>
        <w:t xml:space="preserve">Consistent direction bias derivation</w:t>
      </w:r>
    </w:p>
    <w:p>
      <w:pPr>
        <w:pStyle w:val="ListParagraph"/>
        <w:numPr>
          <w:ilvl w:val="0"/>
          <w:numId w:val="2"/>
        </w:numPr>
        <w:spacing w:before="35" w:after="35"/>
      </w:pPr>
      <w:r>
        <w:rPr>
          <w:rFonts w:ascii="Arial" w:cs="Arial" w:eastAsia="Arial" w:hAnsi="Arial"/>
          <w:b w:val="false"/>
          <w:bCs w:val="false"/>
          <w:color w:val="404040"/>
          <w:sz w:val="18"/>
          <w:szCs w:val="18"/>
        </w:rPr>
        <w:t xml:space="preserve">Reliable breadth/momentum alignment checks</w:t>
      </w:r>
    </w:p>
    <w:p>
      <w:pPr>
        <w:pStyle w:val="ListParagraph"/>
        <w:numPr>
          <w:ilvl w:val="0"/>
          <w:numId w:val="2"/>
        </w:numPr>
        <w:spacing w:before="35" w:after="35"/>
      </w:pPr>
      <w:r>
        <w:rPr>
          <w:rFonts w:ascii="Arial" w:cs="Arial" w:eastAsia="Arial" w:hAnsi="Arial"/>
          <w:b w:val="false"/>
          <w:bCs w:val="false"/>
          <w:color w:val="404040"/>
          <w:sz w:val="18"/>
          <w:szCs w:val="18"/>
        </w:rPr>
        <w:t xml:space="preserve">Auditable record of why a signal was categorized as bearish, bullish, or neutral</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13.4  Confidence Model Decomposition</w:t>
      </w:r>
    </w:p>
    <w:p>
      <w:pPr>
        <w:spacing w:before="140" w:after="35"/>
      </w:pPr>
      <w:r>
        <w:rPr>
          <w:rFonts w:ascii="Arial" w:cs="Arial" w:eastAsia="Arial" w:hAnsi="Arial"/>
          <w:b/>
          <w:bCs/>
          <w:color w:val="1F3864"/>
          <w:sz w:val="18"/>
          <w:szCs w:val="18"/>
        </w:rPr>
        <w:t xml:space="preserve">What it does</w:t>
      </w:r>
    </w:p>
    <w:p>
      <w:pPr>
        <w:spacing w:before="55" w:after="55"/>
      </w:pPr>
      <w:r>
        <w:rPr>
          <w:rFonts w:ascii="Arial" w:cs="Arial" w:eastAsia="Arial" w:hAnsi="Arial"/>
          <w:color w:val="404040"/>
          <w:sz w:val="18"/>
          <w:szCs w:val="18"/>
        </w:rPr>
        <w:t xml:space="preserve">Separates signal confidence into structural conviction (how strongly does the market structure point in a direction) and execution penalty (how much does execution friction reduce tradeability for an options buyer).</w:t>
      </w:r>
    </w:p>
    <w:p>
      <w:pPr>
        <w:spacing w:before="140" w:after="35"/>
      </w:pPr>
      <w:r>
        <w:rPr>
          <w:rFonts w:ascii="Arial" w:cs="Arial" w:eastAsia="Arial" w:hAnsi="Arial"/>
          <w:b/>
          <w:bCs/>
          <w:color w:val="1F3864"/>
          <w:sz w:val="18"/>
          <w:szCs w:val="18"/>
        </w:rPr>
        <w:t xml:space="preserve">Why it matters architecturally</w:t>
      </w:r>
    </w:p>
    <w:p>
      <w:pPr>
        <w:spacing w:before="55" w:after="55"/>
      </w:pPr>
      <w:r>
        <w:rPr>
          <w:rFonts w:ascii="Arial" w:cs="Arial" w:eastAsia="Arial" w:hAnsi="Arial"/>
          <w:color w:val="404040"/>
          <w:sz w:val="18"/>
          <w:szCs w:val="18"/>
        </w:rPr>
        <w:t xml:space="preserve">MERDIAN is evolving into an options decision engine, not just a market-description system. A setup can be strongly bearish structurally while still being unattractive for outright premium buying because of expiry proximity, IV elevation, or premium compression. These are two different concepts and must not be collapsed invisibly into a single opaque number.</w:t>
      </w:r>
    </w:p>
    <w:p>
      <w:pPr>
        <w:spacing w:before="140" w:after="35"/>
      </w:pPr>
      <w:r>
        <w:rPr>
          <w:rFonts w:ascii="Arial" w:cs="Arial" w:eastAsia="Arial" w:hAnsi="Arial"/>
          <w:b/>
          <w:bCs/>
          <w:color w:val="1F3864"/>
          <w:sz w:val="18"/>
          <w:szCs w:val="18"/>
        </w:rPr>
        <w:t xml:space="preserve">What it enables downstream</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6040"/>
      </w:tblGrid>
      <w:tr>
        <w:tc>
          <w:tcPr>
            <w:tcW w:type="dxa" w:w="32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Statement</w:t>
            </w:r>
          </w:p>
        </w:tc>
        <w:tc>
          <w:tcPr>
            <w:tcW w:type="dxa" w:w="60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Meaning</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conviction_score_debug = 99</w:t>
            </w:r>
          </w:p>
        </w:tc>
        <w:tc>
          <w:tcPr>
            <w:tcW w:type="dxa" w:w="6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 is very strongly bearish — high structural confidence</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execution_penalty_debug = 61</w:t>
            </w:r>
          </w:p>
        </w:tc>
        <w:tc>
          <w:tcPr>
            <w:tcW w:type="dxa" w:w="6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But premium buying conditions are poor — heavy execution friction</w:t>
            </w:r>
          </w:p>
        </w:tc>
      </w:tr>
      <w:tr>
        <w:tc>
          <w:tcPr>
            <w:tcW w:type="dxa" w:w="32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confidence_score = 38</w:t>
            </w:r>
          </w:p>
        </w:tc>
        <w:tc>
          <w:tcPr>
            <w:tcW w:type="dxa" w:w="60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Net tradeable confidence — correct for an options buyer to see</w:t>
            </w:r>
          </w:p>
        </w:tc>
      </w:tr>
    </w:tbl>
    <w:p>
      <w:pPr>
        <w:pStyle w:val="ListParagraph"/>
        <w:numPr>
          <w:ilvl w:val="0"/>
          <w:numId w:val="2"/>
        </w:numPr>
        <w:spacing w:before="35" w:after="35"/>
      </w:pPr>
      <w:r>
        <w:rPr>
          <w:rFonts w:ascii="Arial" w:cs="Arial" w:eastAsia="Arial" w:hAnsi="Arial"/>
          <w:b w:val="false"/>
          <w:bCs w:val="false"/>
          <w:color w:val="404040"/>
          <w:sz w:val="18"/>
          <w:szCs w:val="18"/>
        </w:rPr>
        <w:t xml:space="preserve">Cleaner decision policy design — conviction vs tradeability are now separate tuning axes</w:t>
      </w:r>
    </w:p>
    <w:p>
      <w:pPr>
        <w:pStyle w:val="ListParagraph"/>
        <w:numPr>
          <w:ilvl w:val="0"/>
          <w:numId w:val="2"/>
        </w:numPr>
        <w:spacing w:before="35" w:after="35"/>
      </w:pPr>
      <w:r>
        <w:rPr>
          <w:rFonts w:ascii="Arial" w:cs="Arial" w:eastAsia="Arial" w:hAnsi="Arial"/>
          <w:b w:val="false"/>
          <w:bCs w:val="false"/>
          <w:color w:val="404040"/>
          <w:sz w:val="18"/>
          <w:szCs w:val="18"/>
        </w:rPr>
        <w:t xml:space="preserve">Later linkage to regret logging — was the suppression correct given the actual outcome?</w:t>
      </w:r>
    </w:p>
    <w:p>
      <w:pPr>
        <w:pStyle w:val="ListParagraph"/>
        <w:numPr>
          <w:ilvl w:val="0"/>
          <w:numId w:val="2"/>
        </w:numPr>
        <w:spacing w:before="35" w:after="35"/>
      </w:pPr>
      <w:r>
        <w:rPr>
          <w:rFonts w:ascii="Arial" w:cs="Arial" w:eastAsia="Arial" w:hAnsi="Arial"/>
          <w:b w:val="false"/>
          <w:bCs w:val="false"/>
          <w:color w:val="404040"/>
          <w:sz w:val="18"/>
          <w:szCs w:val="18"/>
        </w:rPr>
        <w:t xml:space="preserve">Easier threshold governance — can raise conviction threshold independently of execution tolerance</w:t>
      </w:r>
    </w:p>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14. Full File Read / Write Map</w:t>
      </w:r>
    </w:p>
    <w:p>
      <w:pPr>
        <w:spacing w:before="220" w:after="50"/>
      </w:pPr>
      <w:r>
        <w:rPr>
          <w:rFonts w:ascii="Arial" w:cs="Arial" w:eastAsia="Arial" w:hAnsi="Arial"/>
          <w:b/>
          <w:bCs/>
          <w:color w:val="2E75B6"/>
          <w:sz w:val="20"/>
          <w:szCs w:val="20"/>
        </w:rPr>
        <w:t xml:space="preserve">build_market_state_snapshot_local.py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Direction</w:t>
            </w:r>
          </w:p>
        </w:tc>
        <w:tc>
          <w:tcPr>
            <w:tcW w:type="dxa" w:w="68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Tables / Files</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Reads From</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public.gamma_metrics  |  public.market_breadth_intraday  |  public.volatility_snapshots  |  public.market_spot_snapshots  |  public.index_futures_snapshots  |  public.momentum_snapshots  |  public.weighted_constituent_breadth_snapshots</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Writes To</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public.market_state_snapshots</w:t>
            </w:r>
          </w:p>
        </w:tc>
      </w:tr>
    </w:tbl>
    <w:p>
      <w:pPr>
        <w:spacing w:before="30" w:after="0"/>
      </w:pPr>
      <w:r>
        <w:rPr>
          <w:rFonts w:ascii="Arial" w:cs="Arial" w:eastAsia="Arial" w:hAnsi="Arial"/>
          <w:color w:val="404040"/>
          <w:sz w:val="18"/>
          <w:szCs w:val="18"/>
        </w:rPr>
        <w:t xml:space="preserve"/>
      </w:r>
    </w:p>
    <w:p>
      <w:pPr>
        <w:spacing w:before="55" w:after="55"/>
      </w:pPr>
      <w:r>
        <w:rPr>
          <w:rFonts w:ascii="Arial" w:cs="Arial" w:eastAsia="Arial" w:hAnsi="Arial"/>
          <w:color w:val="404040"/>
          <w:sz w:val="18"/>
          <w:szCs w:val="18"/>
        </w:rPr>
        <w:t xml:space="preserve">Key repaired behaviours in this version:</w:t>
      </w:r>
    </w:p>
    <w:p>
      <w:pPr>
        <w:pStyle w:val="ListParagraph"/>
        <w:numPr>
          <w:ilvl w:val="0"/>
          <w:numId w:val="2"/>
        </w:numPr>
        <w:spacing w:before="35" w:after="35"/>
      </w:pPr>
      <w:r>
        <w:rPr>
          <w:rFonts w:ascii="Arial" w:cs="Arial" w:eastAsia="Arial" w:hAnsi="Arial"/>
          <w:b w:val="false"/>
          <w:bCs w:val="false"/>
          <w:color w:val="404040"/>
          <w:sz w:val="18"/>
          <w:szCs w:val="18"/>
        </w:rPr>
        <w:t xml:space="preserve">WCB row selection by index_symbol — not by symbol (which does not exist)</w:t>
      </w:r>
    </w:p>
    <w:p>
      <w:pPr>
        <w:pStyle w:val="ListParagraph"/>
        <w:numPr>
          <w:ilvl w:val="0"/>
          <w:numId w:val="2"/>
        </w:numPr>
        <w:spacing w:before="35" w:after="35"/>
      </w:pPr>
      <w:r>
        <w:rPr>
          <w:rFonts w:ascii="Arial" w:cs="Arial" w:eastAsia="Arial" w:hAnsi="Arial"/>
          <w:b w:val="false"/>
          <w:bCs w:val="false"/>
          <w:color w:val="404040"/>
          <w:sz w:val="18"/>
          <w:szCs w:val="18"/>
        </w:rPr>
        <w:t xml:space="preserve">Fallback by constituent_count (49 = NIFTY, 29 = SENSEX) only after symbol matching</w:t>
      </w:r>
    </w:p>
    <w:p>
      <w:pPr>
        <w:pStyle w:val="ListParagraph"/>
        <w:numPr>
          <w:ilvl w:val="0"/>
          <w:numId w:val="2"/>
        </w:numPr>
        <w:spacing w:before="35" w:after="35"/>
      </w:pPr>
      <w:r>
        <w:rPr>
          <w:rFonts w:ascii="Arial" w:cs="Arial" w:eastAsia="Arial" w:hAnsi="Arial"/>
          <w:b w:val="false"/>
          <w:bCs w:val="false"/>
          <w:color w:val="404040"/>
          <w:sz w:val="18"/>
          <w:szCs w:val="18"/>
        </w:rPr>
        <w:t xml:space="preserve">WCB coverage extraction from active_weight_pct; fallback to raw.active_weight_total</w:t>
      </w:r>
    </w:p>
    <w:p>
      <w:pPr>
        <w:pStyle w:val="ListParagraph"/>
        <w:numPr>
          <w:ilvl w:val="0"/>
          <w:numId w:val="2"/>
        </w:numPr>
        <w:spacing w:before="35" w:after="35"/>
      </w:pPr>
      <w:r>
        <w:rPr>
          <w:rFonts w:ascii="Arial" w:cs="Arial" w:eastAsia="Arial" w:hAnsi="Arial"/>
          <w:b w:val="false"/>
          <w:bCs w:val="false"/>
          <w:color w:val="404040"/>
          <w:sz w:val="18"/>
          <w:szCs w:val="18"/>
        </w:rPr>
        <w:t xml:space="preserve">flip_distance_pct derived locally when absent/inconsistent from upstream gamma_metrics</w:t>
      </w:r>
    </w:p>
    <w:p>
      <w:pPr>
        <w:pStyle w:val="ListParagraph"/>
        <w:numPr>
          <w:ilvl w:val="0"/>
          <w:numId w:val="2"/>
        </w:numPr>
        <w:spacing w:before="35" w:after="35"/>
      </w:pPr>
      <w:r>
        <w:rPr>
          <w:rFonts w:ascii="Arial" w:cs="Arial" w:eastAsia="Arial" w:hAnsi="Arial"/>
          <w:b w:val="false"/>
          <w:bCs w:val="false"/>
          <w:color w:val="404040"/>
          <w:sz w:val="18"/>
          <w:szCs w:val="18"/>
        </w:rPr>
        <w:t xml:space="preserve">momentum_regime derived and persisted into market-state JSON payload</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build_trade_signal_local.py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Direction</w:t>
            </w:r>
          </w:p>
        </w:tc>
        <w:tc>
          <w:tcPr>
            <w:tcW w:type="dxa" w:w="68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Tables / Files</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Reads From</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public.market_state_snapshots (latest corrected rows)</w:t>
            </w:r>
          </w:p>
        </w:tc>
      </w:tr>
      <w:tr>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Writes To</w:t>
            </w:r>
          </w:p>
        </w:tc>
        <w:tc>
          <w:tcPr>
            <w:tcW w:type="dxa" w:w="68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public.signal_snapshots  |  data/latest_trade_signal_NIFTY.json  |  data/latest_trade_signal_SENSEX.json</w:t>
            </w:r>
          </w:p>
        </w:tc>
      </w:tr>
    </w:tbl>
    <w:p>
      <w:pPr>
        <w:spacing w:before="30" w:after="0"/>
      </w:pPr>
      <w:r>
        <w:rPr>
          <w:rFonts w:ascii="Arial" w:cs="Arial" w:eastAsia="Arial" w:hAnsi="Arial"/>
          <w:color w:val="404040"/>
          <w:sz w:val="18"/>
          <w:szCs w:val="18"/>
        </w:rPr>
        <w:t xml:space="preserve"/>
      </w:r>
    </w:p>
    <w:p>
      <w:pPr>
        <w:spacing w:before="55" w:after="55"/>
      </w:pPr>
      <w:r>
        <w:rPr>
          <w:rFonts w:ascii="Arial" w:cs="Arial" w:eastAsia="Arial" w:hAnsi="Arial"/>
          <w:color w:val="404040"/>
          <w:sz w:val="18"/>
          <w:szCs w:val="18"/>
        </w:rPr>
        <w:t xml:space="preserve">Key repaired behaviours in this version:</w:t>
      </w:r>
    </w:p>
    <w:p>
      <w:pPr>
        <w:pStyle w:val="ListParagraph"/>
        <w:numPr>
          <w:ilvl w:val="0"/>
          <w:numId w:val="2"/>
        </w:numPr>
        <w:spacing w:before="35" w:after="35"/>
      </w:pPr>
      <w:r>
        <w:rPr>
          <w:rFonts w:ascii="Arial" w:cs="Arial" w:eastAsia="Arial" w:hAnsi="Arial"/>
          <w:b w:val="false"/>
          <w:bCs w:val="false"/>
          <w:color w:val="404040"/>
          <w:sz w:val="18"/>
          <w:szCs w:val="18"/>
        </w:rPr>
        <w:t xml:space="preserve">Propagates wcb_weight_coverage_pct from corrected market-state WCB payload</w:t>
      </w:r>
    </w:p>
    <w:p>
      <w:pPr>
        <w:pStyle w:val="ListParagraph"/>
        <w:numPr>
          <w:ilvl w:val="0"/>
          <w:numId w:val="2"/>
        </w:numPr>
        <w:spacing w:before="35" w:after="35"/>
      </w:pPr>
      <w:r>
        <w:rPr>
          <w:rFonts w:ascii="Arial" w:cs="Arial" w:eastAsia="Arial" w:hAnsi="Arial"/>
          <w:b w:val="false"/>
          <w:bCs w:val="false"/>
          <w:color w:val="404040"/>
          <w:sz w:val="18"/>
          <w:szCs w:val="18"/>
        </w:rPr>
        <w:t xml:space="preserve">Derives wcb_alignment as signal metadata</w:t>
      </w:r>
    </w:p>
    <w:p>
      <w:pPr>
        <w:pStyle w:val="ListParagraph"/>
        <w:numPr>
          <w:ilvl w:val="0"/>
          <w:numId w:val="2"/>
        </w:numPr>
        <w:spacing w:before="35" w:after="35"/>
      </w:pPr>
      <w:r>
        <w:rPr>
          <w:rFonts w:ascii="Arial" w:cs="Arial" w:eastAsia="Arial" w:hAnsi="Arial"/>
          <w:b w:val="false"/>
          <w:bCs w:val="false"/>
          <w:color w:val="404040"/>
          <w:sz w:val="18"/>
          <w:szCs w:val="18"/>
        </w:rPr>
        <w:t xml:space="preserve">Decomposes confidence into conviction_score_debug and execution_penalty_debug</w:t>
      </w:r>
    </w:p>
    <w:p>
      <w:pPr>
        <w:pStyle w:val="ListParagraph"/>
        <w:numPr>
          <w:ilvl w:val="0"/>
          <w:numId w:val="2"/>
        </w:numPr>
        <w:spacing w:before="35" w:after="35"/>
      </w:pPr>
      <w:r>
        <w:rPr>
          <w:rFonts w:ascii="Arial" w:cs="Arial" w:eastAsia="Arial" w:hAnsi="Arial"/>
          <w:b w:val="false"/>
          <w:bCs w:val="false"/>
          <w:color w:val="404040"/>
          <w:sz w:val="18"/>
          <w:szCs w:val="18"/>
        </w:rPr>
        <w:t xml:space="preserve">Persists both debug fields in signal_snapshots.raw for auditability</w:t>
      </w:r>
    </w:p>
    <w:p>
      <w:pPr>
        <w:spacing w:before="120" w:after="0"/>
      </w:pPr>
      <w:r>
        <w:rPr>
          <w:rFonts w:ascii="Arial" w:cs="Arial" w:eastAsia="Arial" w:hAnsi="Arial"/>
          <w:color w:val="404040"/>
          <w:sz w:val="18"/>
          <w:szCs w:val="18"/>
        </w:rPr>
        <w:t xml:space="preserve"/>
      </w:r>
    </w:p>
    <w:p>
      <w:r>
        <w:br w:type="page"/>
      </w:r>
    </w:p>
    <w:p>
      <w:pPr>
        <w:pBdr>
          <w:bottom w:val="single" w:color="1F3864" w:sz="6" w:space="2"/>
        </w:pBdr>
        <w:spacing w:before="300" w:after="80"/>
      </w:pPr>
      <w:r>
        <w:rPr>
          <w:rFonts w:ascii="Arial" w:cs="Arial" w:eastAsia="Arial" w:hAnsi="Arial"/>
          <w:b/>
          <w:bCs/>
          <w:color w:val="1F3864"/>
          <w:sz w:val="26"/>
          <w:szCs w:val="26"/>
        </w:rPr>
        <w:t xml:space="preserve">15. Final Assessment</w:t>
      </w:r>
    </w:p>
    <w:p>
      <w:pPr>
        <w:spacing w:before="55" w:after="55"/>
      </w:pPr>
      <w:r>
        <w:rPr>
          <w:rFonts w:ascii="Arial" w:cs="Arial" w:eastAsia="Arial" w:hAnsi="Arial"/>
          <w:color w:val="404040"/>
          <w:sz w:val="18"/>
          <w:szCs w:val="18"/>
        </w:rPr>
        <w:t xml:space="preserve">This session did not create a new module family, but it repaired a load-bearing state-stack defect that would have continued to distort MERDIAN's confidence scoring and WCB interpretation on every subsequent run.</w:t>
      </w:r>
    </w:p>
    <w:p>
      <w:pPr>
        <w:spacing w:before="4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15.1  Most Important Accomplishments</w:t>
      </w:r>
    </w:p>
    <w:p>
      <w:pPr>
        <w:pStyle w:val="ListParagraph"/>
        <w:numPr>
          <w:ilvl w:val="0"/>
          <w:numId w:val="2"/>
        </w:numPr>
        <w:spacing w:before="35" w:after="35"/>
      </w:pPr>
      <w:r>
        <w:rPr>
          <w:rFonts w:ascii="Arial" w:cs="Arial" w:eastAsia="Arial" w:hAnsi="Arial"/>
          <w:b/>
          <w:bCs/>
          <w:color w:val="404040"/>
          <w:sz w:val="18"/>
          <w:szCs w:val="18"/>
        </w:rPr>
        <w:t xml:space="preserve">Corrected the true WCB schema assumptions — index_symbol, not symbol</w:t>
      </w:r>
    </w:p>
    <w:p>
      <w:pPr>
        <w:pStyle w:val="ListParagraph"/>
        <w:numPr>
          <w:ilvl w:val="0"/>
          <w:numId w:val="2"/>
        </w:numPr>
        <w:spacing w:before="35" w:after="35"/>
      </w:pPr>
      <w:r>
        <w:rPr>
          <w:rFonts w:ascii="Arial" w:cs="Arial" w:eastAsia="Arial" w:hAnsi="Arial"/>
          <w:b/>
          <w:bCs/>
          <w:color w:val="404040"/>
          <w:sz w:val="18"/>
          <w:szCs w:val="18"/>
        </w:rPr>
        <w:t xml:space="preserve">Corrected index-specific WCB row selection — SENSEX no longer receives NIFTY WCB metrics</w:t>
      </w:r>
    </w:p>
    <w:p>
      <w:pPr>
        <w:pStyle w:val="ListParagraph"/>
        <w:numPr>
          <w:ilvl w:val="0"/>
          <w:numId w:val="2"/>
        </w:numPr>
        <w:spacing w:before="35" w:after="35"/>
      </w:pPr>
      <w:r>
        <w:rPr>
          <w:rFonts w:ascii="Arial" w:cs="Arial" w:eastAsia="Arial" w:hAnsi="Arial"/>
          <w:b/>
          <w:bCs/>
          <w:color w:val="404040"/>
          <w:sz w:val="18"/>
          <w:szCs w:val="18"/>
        </w:rPr>
        <w:t xml:space="preserve">Restored WCB coverage persistence into state and signal layers</w:t>
      </w:r>
    </w:p>
    <w:p>
      <w:pPr>
        <w:pStyle w:val="ListParagraph"/>
        <w:numPr>
          <w:ilvl w:val="0"/>
          <w:numId w:val="2"/>
        </w:numPr>
        <w:spacing w:before="35" w:after="35"/>
      </w:pPr>
      <w:r>
        <w:rPr>
          <w:rFonts w:ascii="Arial" w:cs="Arial" w:eastAsia="Arial" w:hAnsi="Arial"/>
          <w:b/>
          <w:bCs/>
          <w:color w:val="404040"/>
          <w:sz w:val="18"/>
          <w:szCs w:val="18"/>
        </w:rPr>
        <w:t xml:space="preserve">Confirmed latest state rows are now materially correct for both instruments</w:t>
      </w:r>
    </w:p>
    <w:p>
      <w:pPr>
        <w:pStyle w:val="ListParagraph"/>
        <w:numPr>
          <w:ilvl w:val="0"/>
          <w:numId w:val="2"/>
        </w:numPr>
        <w:spacing w:before="35" w:after="35"/>
      </w:pPr>
      <w:r>
        <w:rPr>
          <w:rFonts w:ascii="Arial" w:cs="Arial" w:eastAsia="Arial" w:hAnsi="Arial"/>
          <w:b/>
          <w:bCs/>
          <w:color w:val="404040"/>
          <w:sz w:val="18"/>
          <w:szCs w:val="18"/>
        </w:rPr>
        <w:t xml:space="preserve">Confirmed latest signal rows are now materially correct for both instruments</w:t>
      </w:r>
    </w:p>
    <w:p>
      <w:pPr>
        <w:pStyle w:val="ListParagraph"/>
        <w:numPr>
          <w:ilvl w:val="0"/>
          <w:numId w:val="2"/>
        </w:numPr>
        <w:spacing w:before="35" w:after="35"/>
      </w:pPr>
      <w:r>
        <w:rPr>
          <w:rFonts w:ascii="Arial" w:cs="Arial" w:eastAsia="Arial" w:hAnsi="Arial"/>
          <w:b/>
          <w:bCs/>
          <w:color w:val="404040"/>
          <w:sz w:val="18"/>
          <w:szCs w:val="18"/>
        </w:rPr>
        <w:t xml:space="preserve">Reframed signal confidence into a structurally auditable conviction-minus-penalty model</w:t>
      </w:r>
    </w:p>
    <w:p>
      <w:pPr>
        <w:spacing w:before="60" w:after="0"/>
      </w:pPr>
      <w:r>
        <w:rPr>
          <w:rFonts w:ascii="Arial" w:cs="Arial" w:eastAsia="Arial" w:hAnsi="Arial"/>
          <w:color w:val="404040"/>
          <w:sz w:val="18"/>
          <w:szCs w:val="18"/>
        </w:rPr>
        <w:t xml:space="preserve"/>
      </w:r>
    </w:p>
    <w:p>
      <w:pPr>
        <w:spacing w:before="220" w:after="50"/>
      </w:pPr>
      <w:r>
        <w:rPr>
          <w:rFonts w:ascii="Arial" w:cs="Arial" w:eastAsia="Arial" w:hAnsi="Arial"/>
          <w:b/>
          <w:bCs/>
          <w:color w:val="2E75B6"/>
          <w:sz w:val="20"/>
          <w:szCs w:val="20"/>
        </w:rPr>
        <w:t xml:space="preserve">15.2  Final Stable End-of-Session State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640"/>
      </w:tblGrid>
      <w:tr>
        <w:tc>
          <w:tcPr>
            <w:tcW w:type="dxa" w:w="18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Layer</w:t>
            </w:r>
          </w:p>
        </w:tc>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Metric</w:t>
            </w:r>
          </w:p>
        </w:tc>
        <w:tc>
          <w:tcPr>
            <w:tcW w:type="dxa" w:w="240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NIFTY</w:t>
            </w:r>
          </w:p>
        </w:tc>
        <w:tc>
          <w:tcPr>
            <w:tcW w:type="dxa" w:w="2640"/>
            <w:tcBorders>
              <w:top w:val="single" w:color="CCCCCC" w:sz="4"/>
              <w:left w:val="single" w:color="CCCCCC" w:sz="4"/>
              <w:bottom w:val="single" w:color="CCCCCC" w:sz="4"/>
              <w:right w:val="single" w:color="CCCCCC" w:sz="4"/>
            </w:tcBorders>
            <w:shd w:fill="D6E4F0" w:val="clear"/>
            <w:tcMar>
              <w:top w:type="dxa" w:w="55"/>
              <w:left w:type="dxa" w:w="110"/>
              <w:bottom w:type="dxa" w:w="55"/>
              <w:right w:type="dxa" w:w="110"/>
            </w:tcMar>
          </w:tcPr>
          <w:p>
            <w:pPr>
              <w:spacing w:before="35" w:after="35"/>
            </w:pPr>
            <w:r>
              <w:rPr>
                <w:rFonts w:ascii="Arial" w:cs="Arial" w:eastAsia="Arial" w:hAnsi="Arial"/>
                <w:b/>
                <w:bCs/>
                <w:color w:val="1F3864"/>
                <w:sz w:val="17"/>
                <w:szCs w:val="17"/>
              </w:rPr>
              <w:t xml:space="preserve">SENSEX</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 State</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 row correct</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index_symbol = NIFTY, constituent_count = 49</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 index_symbol = SENSEX, constituent_count = 29</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 State</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weight_coverage_pct</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98.86550000000011</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98.27399999999989</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 State</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momentum_regime</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DOWN</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DOWN</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Market State</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flip_distance_pct</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22.999663950264637</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13.437577453465426</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Layer</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wcb_weight_coverage_pct</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98.86550000000011</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98.27399999999989</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Layer</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direction_bias</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BEARISH</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BEARISH</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Layer</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wcb_alignment</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ALIGNED</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ALIGNED</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Layer</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confidence_score</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38.0</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41.0</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Layer</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conviction_score_debug</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99.0</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92.0</w:t>
            </w:r>
          </w:p>
        </w:tc>
      </w:tr>
      <w:tr>
        <w:tc>
          <w:tcPr>
            <w:tcW w:type="dxa" w:w="18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Signal Layer</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execution_penalty_debug</w:t>
            </w:r>
          </w:p>
        </w:tc>
        <w:tc>
          <w:tcPr>
            <w:tcW w:type="dxa" w:w="240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61.0</w:t>
            </w:r>
          </w:p>
        </w:tc>
        <w:tc>
          <w:tcPr>
            <w:tcW w:type="dxa" w:w="2640"/>
            <w:tcBorders>
              <w:top w:val="single" w:color="CCCCCC" w:sz="4"/>
              <w:left w:val="single" w:color="CCCCCC" w:sz="4"/>
              <w:bottom w:val="single" w:color="CCCCCC" w:sz="4"/>
              <w:right w:val="single" w:color="CCCCCC" w:sz="4"/>
            </w:tcBorders>
            <w:shd w:fill="FFFFFF" w:val="clear"/>
            <w:tcMar>
              <w:top w:type="dxa" w:w="55"/>
              <w:left w:type="dxa" w:w="110"/>
              <w:bottom w:type="dxa" w:w="55"/>
              <w:right w:type="dxa" w:w="110"/>
            </w:tcMar>
          </w:tcPr>
          <w:p>
            <w:pPr>
              <w:spacing w:before="35" w:after="35"/>
            </w:pPr>
            <w:r>
              <w:rPr>
                <w:rFonts w:ascii="Arial" w:cs="Arial" w:eastAsia="Arial" w:hAnsi="Arial"/>
                <w:b w:val="false"/>
                <w:bCs w:val="false"/>
                <w:color w:val="404040"/>
                <w:sz w:val="17"/>
                <w:szCs w:val="17"/>
              </w:rPr>
              <w:t xml:space="preserve">51.0</w:t>
            </w:r>
          </w:p>
        </w:tc>
      </w:tr>
    </w:tbl>
    <w:p>
      <w:pPr>
        <w:spacing w:before="80" w:after="0"/>
      </w:pPr>
      <w:r>
        <w:rPr>
          <w:rFonts w:ascii="Arial" w:cs="Arial" w:eastAsia="Arial" w:hAnsi="Arial"/>
          <w:color w:val="404040"/>
          <w:sz w:val="18"/>
          <w:szCs w:val="18"/>
        </w:rPr>
        <w:t xml:space="preserve"/>
      </w:r>
    </w:p>
    <w:p>
      <w:pPr>
        <w:pBdr>
          <w:left w:val="single" w:color="2E75B6" w:sz="12" w:space="10"/>
        </w:pBdr>
        <w:spacing w:before="70" w:after="70"/>
        <w:ind w:left="640"/>
      </w:pPr>
      <w:r>
        <w:rPr>
          <w:rFonts w:ascii="Arial" w:cs="Arial" w:eastAsia="Arial" w:hAnsi="Arial"/>
          <w:i/>
          <w:iCs/>
          <w:color w:val="1F3864"/>
          <w:sz w:val="18"/>
          <w:szCs w:val="18"/>
        </w:rPr>
        <w:t xml:space="preserve">Appendix 16B is now sufficient to resume in a new chat without reopening the WCB-null bug, the wrong-WCB-row bug, or the core market-state propagation issue.</w:t>
      </w:r>
    </w:p>
    <w:p>
      <w:pPr>
        <w:spacing w:before="200" w:after="0"/>
      </w:pPr>
      <w:r>
        <w:rPr>
          <w:rFonts w:ascii="Arial" w:cs="Arial" w:eastAsia="Arial" w:hAnsi="Arial"/>
          <w:color w:val="404040"/>
          <w:sz w:val="18"/>
          <w:szCs w:val="18"/>
        </w:rPr>
        <w:t xml:space="preserve"/>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595959"/>
        <w:sz w:val="15"/>
        <w:szCs w:val="15"/>
      </w:rPr>
      <w:t xml:space="preserve">MERDIAN Development Record  |  Appendix 16B</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b/>
        <w:bCs/>
        <w:color w:val="1F3864"/>
        <w:sz w:val="16"/>
        <w:szCs w:val="16"/>
      </w:rPr>
      <w:t xml:space="preserve">MERDIAN  |  Appendix 16B</w:t>
    </w:r>
    <w:r>
      <w:rPr>
        <w:rFonts w:ascii="Arial" w:cs="Arial" w:eastAsia="Arial" w:hAnsi="Arial"/>
        <w:color w:val="595959"/>
        <w:sz w:val="16"/>
        <w:szCs w:val="16"/>
      </w:rPr>
      <w:t xml:space="preserve">   WCB Persistence Repair · Market-State Enrichment · Confidence Recalibration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2026-03-19T04:25:45.209Z</dcterms:created>
  <dcterms:modified xsi:type="dcterms:W3CDTF">2026-03-19T04:25:45.210Z</dcterms:modified>
</cp:coreProperties>
</file>

<file path=docProps/custom.xml><?xml version="1.0" encoding="utf-8"?>
<Properties xmlns="http://schemas.openxmlformats.org/officeDocument/2006/custom-properties" xmlns:vt="http://schemas.openxmlformats.org/officeDocument/2006/docPropsVTypes"/>
</file>