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sz w:val="20"/>
          <w:szCs w:val="20"/>
        </w:rPr>
        <w:t xml:space="preserve"> </w:t>
      </w:r>
    </w:p>
    <w:p>
      <w:pPr>
        <w:spacing w:after="0" w:before="0"/>
        <w:jc w:val="center"/>
      </w:pPr>
      <w:r>
        <w:rPr>
          <w:rFonts w:ascii="Arial" w:cs="Arial" w:eastAsia="Arial" w:hAnsi="Arial"/>
          <w:b/>
          <w:bCs/>
          <w:color w:val="1F3864"/>
          <w:sz w:val="72"/>
          <w:szCs w:val="72"/>
        </w:rPr>
        <w:t xml:space="preserve">MERDIAN</w:t>
      </w:r>
    </w:p>
    <w:p>
      <w:pPr>
        <w:pBdr>
          <w:bottom w:val="single" w:color="2E75B6" w:sz="8" w:space="8"/>
        </w:pBdr>
        <w:spacing w:after="0" w:before="0"/>
        <w:jc w:val="center"/>
      </w:pPr>
      <w:r>
        <w:rPr>
          <w:rFonts w:ascii="Arial" w:cs="Arial" w:eastAsia="Arial" w:hAnsi="Arial"/>
          <w:b/>
          <w:bCs/>
          <w:color w:val="2E75B6"/>
          <w:sz w:val="40"/>
          <w:szCs w:val="40"/>
        </w:rPr>
        <w:t xml:space="preserve">Signal Rule Book v1.0</w:t>
      </w:r>
    </w:p>
    <w:p>
      <w:pPr>
        <w:spacing w:after="60" w:before="60"/>
      </w:pPr>
      <w:r>
        <w:rPr>
          <w:rFonts w:ascii="Arial" w:cs="Arial" w:eastAsia="Arial" w:hAnsi="Arial"/>
          <w:sz w:val="20"/>
          <w:szCs w:val="20"/>
        </w:rPr>
        <w:t xml:space="preserve"> </w:t>
      </w:r>
    </w:p>
    <w:p>
      <w:pPr>
        <w:spacing w:after="80" w:before="0"/>
        <w:jc w:val="center"/>
      </w:pPr>
      <w:r>
        <w:rPr>
          <w:rFonts w:ascii="Arial" w:cs="Arial" w:eastAsia="Arial" w:hAnsi="Arial"/>
          <w:i/>
          <w:iCs/>
          <w:color w:val="595959"/>
          <w:sz w:val="24"/>
          <w:szCs w:val="24"/>
        </w:rPr>
        <w:t xml:space="preserve">Gamma Engine — Market Structure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Research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Apr 2025 – Mar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NIFTY 247 | SENSEX 246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Bars analysed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169,823 (T+30m base 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Experiments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 2, 2b, 2c, 5, 8, 9, 10, 10b, 10c, 11, 12b, 13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Document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2026-04-11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Status</w:t>
            </w:r>
          </w:p>
        </w:tc>
        <w:tc>
          <w:tcPr>
            <w:tcW w:type="dxa" w:w="65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RESEARCH COMPLETE — IMPLEMENTATION READY</w:t>
            </w:r>
          </w:p>
        </w:tc>
      </w:tr>
    </w:tbl>
    <w:p>
      <w:pPr>
        <w:spacing w:after="60" w:before="60"/>
      </w:pPr>
      <w:r>
        <w:rPr>
          <w:rFonts w:ascii="Arial" w:cs="Arial" w:eastAsia="Arial" w:hAnsi="Arial"/>
          <w:sz w:val="20"/>
          <w:szCs w:val="20"/>
        </w:rPr>
        <w:t xml:space="preserve"> </w:t>
      </w:r>
    </w:p>
    <w:p>
      <w:pPr>
        <w:spacing w:after="0" w:before="200"/>
        <w:jc w:val="center"/>
      </w:pPr>
      <w:r>
        <w:rPr>
          <w:rFonts w:ascii="Arial" w:cs="Arial" w:eastAsia="Arial" w:hAnsi="Arial"/>
          <w:i/>
          <w:iCs/>
          <w:color w:val="595959"/>
          <w:sz w:val="18"/>
          <w:szCs w:val="18"/>
        </w:rPr>
        <w:t xml:space="preserve">CONFIDENTIAL — Internal Research Document</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Executive Summary</w:t>
      </w:r>
    </w:p>
    <w:p>
      <w:pPr>
        <w:spacing w:after="80" w:before="0"/>
      </w:pPr>
      <w:r>
        <w:rPr>
          <w:rFonts w:ascii="Arial" w:cs="Arial" w:eastAsia="Arial" w:hAnsi="Arial"/>
          <w:sz w:val="20"/>
          <w:szCs w:val="20"/>
        </w:rPr>
        <w:t xml:space="preserve">This document is the synthesised output of 13 research experiments conducted on one year of NIFTY and SENSEX intraday data. It replaces assumptions with evidence and converts findings into directly implementable signal rules.</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Key Findings in Three Sentences</w:t>
      </w:r>
    </w:p>
    <w:p>
      <w:pPr>
        <w:spacing w:after="80" w:before="0"/>
      </w:pPr>
      <w:r>
        <w:rPr>
          <w:rFonts w:ascii="Arial" w:cs="Arial" w:eastAsia="Arial" w:hAnsi="Arial"/>
          <w:sz w:val="20"/>
          <w:szCs w:val="20"/>
        </w:rPr>
        <w:t xml:space="preserve">Four ICT patterns — BULL_OB, BEAR_OB, BULL_FVG, and JUDAS_BULL — have statistically demonstrated edge across multiple volatility regimes and are ready for systematic trading. The current VIX gate (trade_allowed=False when VIX&gt;20) is suppressing the best trades: BEAR_OB shows +174% expectancy in high-IV periods versus +85% in normal-IV periods. Position sizing should be scaled continuously with implied volatility rather than blocked by a binary gate.</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Base Rate — The Benchmark Everything Must Beat</w:t>
      </w:r>
    </w:p>
    <w:p>
      <w:pPr>
        <w:spacing w:after="80" w:before="0"/>
      </w:pPr>
      <w:r>
        <w:rPr>
          <w:rFonts w:ascii="Arial" w:cs="Arial" w:eastAsia="Arial" w:hAnsi="Arial"/>
          <w:sz w:val="20"/>
          <w:szCs w:val="20"/>
        </w:rPr>
        <w:t xml:space="preserve">Across 169,823 bars over 12 months, the market moves UP at T+30m exactly 49.7% of the time. This is the coin-flip baseline. Every signal result in this document should be read against this number.</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Signal Universe — Approved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1200"/>
        <w:gridCol w:w="900"/>
        <w:gridCol w:w="2400"/>
        <w:gridCol w:w="4380"/>
      </w:tblGrid>
      <w:tr>
        <w:trPr>
          <w:tblHeader/>
        </w:trPr>
        <w:tc>
          <w:tcPr>
            <w:tcW w:type="dxa" w:w="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T+30m Exp</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Win Rate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Repeatability</w:t>
            </w:r>
          </w:p>
        </w:tc>
        <w:tc>
          <w:tcPr>
            <w:tcW w:type="dxa" w:w="43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LIKELY STRUCTURAL ★★</w:t>
            </w:r>
          </w:p>
        </w:tc>
        <w:tc>
          <w:tcPr>
            <w:tcW w:type="dxa" w:w="43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LIKELY STRUCTURAL ★★</w:t>
            </w:r>
          </w:p>
        </w:tc>
        <w:tc>
          <w:tcPr>
            <w:tcW w:type="dxa" w:w="43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BULL_FVG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STRUCTURAL ★★★</w:t>
            </w:r>
          </w:p>
        </w:tc>
        <w:tc>
          <w:tcPr>
            <w:tcW w:type="dxa" w:w="43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LIKELY STRUCTURAL ★★</w:t>
            </w:r>
          </w:p>
        </w:tc>
        <w:tc>
          <w:tcPr>
            <w:tcW w:type="dxa" w:w="43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BEAR_FVG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edge</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NEVER 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-29.7%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edge</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NEVER 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BEAR_BREAKER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edge</w:t>
            </w:r>
          </w:p>
        </w:tc>
        <w:tc>
          <w:tcPr>
            <w:tcW w:type="dxa" w:w="4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NEVER TRADE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Market Context — What the Data Showed</w:t>
      </w:r>
    </w:p>
    <w:p>
      <w:pPr>
        <w:pStyle w:val="Heading2"/>
        <w:spacing w:after="80" w:before="240"/>
      </w:pPr>
      <w:r>
        <w:rPr>
          <w:rFonts w:ascii="Arial" w:cs="Arial" w:eastAsia="Arial" w:hAnsi="Arial"/>
          <w:b/>
          <w:bCs/>
          <w:color w:val="2E75B6"/>
          <w:sz w:val="26"/>
          <w:szCs w:val="26"/>
        </w:rPr>
        <w:t xml:space="preserve">1.1 The Market Was Mostly Random</w:t>
      </w:r>
    </w:p>
    <w:p>
      <w:pPr>
        <w:spacing w:after="80" w:before="0"/>
      </w:pPr>
      <w:r>
        <w:rPr>
          <w:rFonts w:ascii="Arial" w:cs="Arial" w:eastAsia="Arial" w:hAnsi="Arial"/>
          <w:sz w:val="20"/>
          <w:szCs w:val="20"/>
        </w:rPr>
        <w:t xml:space="preserve">Across all 12 months, the spot return at T+30m was UP 49.7% and DOWN 50.3% — statistically indistinguishable from a coin flip. The market spent 10 of 12 months in a NEUTRAL directional regime. Only November 2025 was genuinely bullish (55.6% UP) and only March 2026 was genuinely bearish (55.3% DOWN).</w:t>
      </w:r>
    </w:p>
    <w:p>
      <w:pPr>
        <w:spacing w:after="60" w:before="60"/>
      </w:pPr>
      <w:r>
        <w:rPr>
          <w:rFonts w:ascii="Arial" w:cs="Arial" w:eastAsia="Arial" w:hAnsi="Arial"/>
          <w:sz w:val="20"/>
          <w:szCs w:val="20"/>
        </w:rPr>
        <w:t xml:space="preserve"> </w:t>
      </w:r>
    </w:p>
    <w:p>
      <w:pPr>
        <w:spacing w:after="80" w:before="0"/>
      </w:pPr>
      <w:r>
        <w:rPr>
          <w:rFonts w:ascii="Arial" w:cs="Arial" w:eastAsia="Arial" w:hAnsi="Arial"/>
          <w:sz w:val="20"/>
          <w:szCs w:val="20"/>
        </w:rPr>
        <w:t xml:space="preserve">This finding is important: the patterns in this document showed edge against a random-walk backdrop, not a trending market. That is more impressive, not less.</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1.2 Volatility Regimes — Three Distinct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1560"/>
        <w:gridCol w:w="3440"/>
      </w:tblGrid>
      <w:tr>
        <w:trPr>
          <w:tblHeader/>
        </w:trPr>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Regime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Months</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Large Move%</w:t>
            </w:r>
          </w:p>
        </w:tc>
        <w:tc>
          <w:tcPr>
            <w:tcW w:type="dxa" w:w="3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Options Environment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HIGH_VOL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Apr 2025, Jan-Mar 2026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1.5–4.2%</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Excellent — premiums rewarded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MID_VOL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May, Jun, Nov, Dec 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0.2–2.2%</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Good — normal conditions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LOW_VOL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Jul-Oct 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0.0–0.2%</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Poor — theta kills options</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1.3 Time of Day — When Large Moves Originate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 Zone</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Large Move%</w:t>
            </w:r>
          </w:p>
        </w:tc>
        <w:tc>
          <w:tcPr>
            <w:tcW w:type="dxa" w:w="5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  09:15–10:00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BEAR_OB fires — open positioning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Morning 10:00–11:30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Kill zone — BEST for OBs (100% WR in Exp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Midday 11:30–13:30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Weakest — avoid new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Afternoon 13:30–15:30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BULL_OB afternoon cluster — power hour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Power 14:30–15:30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Second best — institutional pre-close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 Pattern Signal Rules</w:t>
      </w:r>
    </w:p>
    <w:p>
      <w:pPr>
        <w:pStyle w:val="Heading2"/>
        <w:spacing w:after="80" w:before="240"/>
      </w:pPr>
      <w:r>
        <w:rPr>
          <w:rFonts w:ascii="Arial" w:cs="Arial" w:eastAsia="Arial" w:hAnsi="Arial"/>
          <w:b/>
          <w:bCs/>
          <w:color w:val="2E75B6"/>
          <w:sz w:val="26"/>
          <w:szCs w:val="26"/>
        </w:rPr>
        <w:t xml:space="preserve">2.1 BEAR_OB — Bearish Order Block</w:t>
      </w:r>
    </w:p>
    <w:p>
      <w:pPr>
        <w:spacing w:after="80" w:before="0"/>
      </w:pPr>
      <w:r>
        <w:rPr>
          <w:rFonts w:ascii="Arial" w:cs="Arial" w:eastAsia="Arial" w:hAnsi="Arial"/>
          <w:sz w:val="20"/>
          <w:szCs w:val="20"/>
        </w:rPr>
        <w:t xml:space="preserve">A bullish candle followed by a sharp bearish move of &gt;0.40%. Institutional selling candle revisited as resistance. The strongest single pattern in the dataset.</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Quality Tiers (from Experiment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400"/>
        <w:gridCol w:w="800"/>
        <w:gridCol w:w="250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T+30m Exp</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WR</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Position Size</w:t>
            </w:r>
          </w:p>
        </w:tc>
      </w:tr>
      <w:tr>
        <w:tc>
          <w:tcPr>
            <w:tcW w:type="dxa" w:w="11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TIER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Morning (10:00–11:30) + MOM_YES + IMP_WEK + HIGH_IV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~298%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1.5× lots</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TIER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IMP_WEK (any time, any momentum)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+100–132%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90–96%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lots</w:t>
            </w:r>
          </w:p>
        </w:tc>
      </w:tr>
      <w:tr>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TIER 3 — SKIP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IMP_STR (strong preceding impulse &gt;0.3% cumulative)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50%</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SKIP</w:t>
            </w:r>
          </w:p>
        </w:tc>
      </w:tr>
    </w:tbl>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Filter Definitions</w:t>
      </w:r>
    </w:p>
    <w:p>
      <w:pPr>
        <w:pStyle w:val="ListParagraph"/>
        <w:numPr>
          <w:ilvl w:val="0"/>
          <w:numId w:val="2"/>
        </w:numPr>
        <w:spacing w:after="60" w:before="0"/>
      </w:pPr>
      <w:r>
        <w:rPr>
          <w:rFonts w:ascii="Arial" w:cs="Arial" w:eastAsia="Arial" w:hAnsi="Arial"/>
          <w:sz w:val="20"/>
          <w:szCs w:val="20"/>
        </w:rPr>
        <w:t xml:space="preserve">MOM_YES: at least 2 of the 3 bars before the OB are bullish (counter-direction). Price was rising before the institutional sell candle appeared.</w:t>
      </w:r>
    </w:p>
    <w:p>
      <w:pPr>
        <w:pStyle w:val="ListParagraph"/>
        <w:numPr>
          <w:ilvl w:val="0"/>
          <w:numId w:val="2"/>
        </w:numPr>
        <w:spacing w:after="60" w:before="0"/>
      </w:pPr>
      <w:r>
        <w:rPr>
          <w:rFonts w:ascii="Arial" w:cs="Arial" w:eastAsia="Arial" w:hAnsi="Arial"/>
          <w:sz w:val="20"/>
          <w:szCs w:val="20"/>
        </w:rPr>
        <w:t xml:space="preserve">IMP_WEK: cumulative |return| of 3 preceding bars &lt; 0.3%. Market was drifting, not impulsing.</w:t>
      </w:r>
    </w:p>
    <w:p>
      <w:pPr>
        <w:pStyle w:val="ListParagraph"/>
        <w:numPr>
          <w:ilvl w:val="0"/>
          <w:numId w:val="2"/>
        </w:numPr>
        <w:spacing w:after="60" w:before="0"/>
      </w:pPr>
      <w:r>
        <w:rPr>
          <w:rFonts w:ascii="Arial" w:cs="Arial" w:eastAsia="Arial" w:hAnsi="Arial"/>
          <w:sz w:val="20"/>
          <w:szCs w:val="20"/>
        </w:rPr>
        <w:t xml:space="preserve">IMP_STR: cumulative |return| &gt;= 0.3%. Market was trending into the OB — not a genuine reversal setup.</w:t>
      </w:r>
    </w:p>
    <w:p>
      <w:pPr>
        <w:pStyle w:val="ListParagraph"/>
        <w:numPr>
          <w:ilvl w:val="0"/>
          <w:numId w:val="2"/>
        </w:numPr>
        <w:spacing w:after="60" w:before="0"/>
      </w:pPr>
      <w:r>
        <w:rPr>
          <w:rFonts w:ascii="Arial" w:cs="Arial" w:eastAsia="Arial" w:hAnsi="Arial"/>
          <w:sz w:val="20"/>
          <w:szCs w:val="20"/>
        </w:rPr>
        <w:t xml:space="preserve">IV scaling: atm_iv &gt; 18% = 1.5× | atm_iv 12–18% = 1.0× | atm_iv &lt; 12% = 0.5×</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MTF Context (from Experiment 10b/10c)</w:t>
      </w:r>
    </w:p>
    <w:p>
      <w:pPr>
        <w:pStyle w:val="ListParagraph"/>
        <w:numPr>
          <w:ilvl w:val="0"/>
          <w:numId w:val="2"/>
        </w:numPr>
        <w:spacing w:after="60" w:before="0"/>
      </w:pPr>
      <w:r>
        <w:rPr>
          <w:rFonts w:ascii="Arial" w:cs="Arial" w:eastAsia="Arial" w:hAnsi="Arial"/>
          <w:sz w:val="20"/>
          <w:szCs w:val="20"/>
        </w:rPr>
        <w:t xml:space="preserve">BEAR_OB in LOW MTF context (no weekly/daily zone): +61.1% expectancy — trade it.</w:t>
      </w:r>
    </w:p>
    <w:p>
      <w:pPr>
        <w:pStyle w:val="ListParagraph"/>
        <w:numPr>
          <w:ilvl w:val="0"/>
          <w:numId w:val="2"/>
        </w:numPr>
        <w:spacing w:after="60" w:before="0"/>
      </w:pPr>
      <w:r>
        <w:rPr>
          <w:rFonts w:ascii="Arial" w:cs="Arial" w:eastAsia="Arial" w:hAnsi="Arial"/>
          <w:sz w:val="20"/>
          <w:szCs w:val="20"/>
        </w:rPr>
        <w:t xml:space="preserve">BEAR_OB in MEDIUM MTF context: -9.3% — AVOID. A bearish micro-pattern inside a bullish zone gets overrun.</w:t>
      </w:r>
    </w:p>
    <w:p>
      <w:pPr>
        <w:pStyle w:val="ListParagraph"/>
        <w:numPr>
          <w:ilvl w:val="0"/>
          <w:numId w:val="2"/>
        </w:numPr>
        <w:spacing w:after="60" w:before="0"/>
      </w:pPr>
      <w:r>
        <w:rPr>
          <w:rFonts w:ascii="Arial" w:cs="Arial" w:eastAsia="Arial" w:hAnsi="Arial"/>
          <w:sz w:val="20"/>
          <w:szCs w:val="20"/>
        </w:rPr>
        <w:t xml:space="preserve">BEAR_OB in HIGH MTF context (weekly zone): +5.3% — marginal. Best avoided unless HIGH_IV.</w:t>
      </w:r>
    </w:p>
    <w:p>
      <w:pPr>
        <w:pStyle w:val="ListParagraph"/>
        <w:numPr>
          <w:ilvl w:val="0"/>
          <w:numId w:val="2"/>
        </w:numPr>
        <w:spacing w:after="60" w:before="0"/>
      </w:pPr>
      <w:r>
        <w:rPr>
          <w:rFonts w:ascii="Arial" w:cs="Arial" w:eastAsia="Arial" w:hAnsi="Arial"/>
          <w:sz w:val="20"/>
          <w:szCs w:val="20"/>
        </w:rPr>
        <w:t xml:space="preserve">Best BEAR_OB: fires in open space with no weekly institutional zone acting as support.</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 PE options (primary) + futures pyramid (if Tier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Futures pyramid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T2 at T+5m if spot moves 0.20% in direction | T3 at T+10m if 0.40%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 loser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T+30m if P&amp;L negative — cut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 winner &lt;50%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Ride to T+60m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 winner &gt;50%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Half-exit at T+30m, hold remainder to T+60m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Best time zone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Morning 10:00–11:30 (296.6% exp, 100% WR)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Avoid time zone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 09:15–10:00 for direction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DTE=0 special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 not add futures leg — options gamma is the entire trade</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2.2 BULL_OB — Bullish Order Block</w:t>
      </w:r>
    </w:p>
    <w:p>
      <w:pPr>
        <w:spacing w:after="80" w:before="0"/>
      </w:pPr>
      <w:r>
        <w:rPr>
          <w:rFonts w:ascii="Arial" w:cs="Arial" w:eastAsia="Arial" w:hAnsi="Arial"/>
          <w:sz w:val="20"/>
          <w:szCs w:val="20"/>
        </w:rPr>
        <w:t xml:space="preserve">A bearish candle followed by a sharp bullish move of &gt;0.40%. Institutional buying candle revisited as support. Regime-independent — works in LONG_GAMMA and NO_FLIP equally.</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Quality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400"/>
        <w:gridCol w:w="800"/>
        <w:gridCol w:w="250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T+30m Exp</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WR</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Position Size</w:t>
            </w:r>
          </w:p>
        </w:tc>
      </w:tr>
      <w:tr>
        <w:tc>
          <w:tcPr>
            <w:tcW w:type="dxa" w:w="11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TIER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Morning (10:00–11:30) OR Afternoon (13:30–15:30) + IMP_WEK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+72–155%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5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1.5× lots</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TIER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NO_SWEEP + IMP_WEK (any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+50–64%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83–86%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lots</w:t>
            </w:r>
          </w:p>
        </w:tc>
      </w:tr>
      <w:tr>
        <w:tc>
          <w:tcPr>
            <w:tcW w:type="dxa" w:w="11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TIER 3 — REDUCE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 session (09:15–10:00)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w:t>
            </w:r>
          </w:p>
        </w:tc>
        <w:tc>
          <w:tcPr>
            <w:tcW w:type="dxa" w:w="25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0.5× or skip</w:t>
            </w:r>
          </w:p>
        </w:tc>
      </w:tr>
    </w:tbl>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MTF Context</w:t>
      </w:r>
    </w:p>
    <w:p>
      <w:pPr>
        <w:pStyle w:val="ListParagraph"/>
        <w:numPr>
          <w:ilvl w:val="0"/>
          <w:numId w:val="2"/>
        </w:numPr>
        <w:spacing w:after="60" w:before="0"/>
      </w:pPr>
      <w:r>
        <w:rPr>
          <w:rFonts w:ascii="Arial" w:cs="Arial" w:eastAsia="Arial" w:hAnsi="Arial"/>
          <w:sz w:val="20"/>
          <w:szCs w:val="20"/>
        </w:rPr>
        <w:t xml:space="preserve">BULL_OB|MEDIUM context: +132.8% expectancy, 100% WR — the highest single number in the dataset.</w:t>
      </w:r>
    </w:p>
    <w:p>
      <w:pPr>
        <w:pStyle w:val="ListParagraph"/>
        <w:numPr>
          <w:ilvl w:val="0"/>
          <w:numId w:val="2"/>
        </w:numPr>
        <w:spacing w:after="60" w:before="0"/>
      </w:pPr>
      <w:r>
        <w:rPr>
          <w:rFonts w:ascii="Arial" w:cs="Arial" w:eastAsia="Arial" w:hAnsi="Arial"/>
          <w:sz w:val="20"/>
          <w:szCs w:val="20"/>
        </w:rPr>
        <w:t xml:space="preserve">BULL_OB|HIGH context: +44.8%, 100% WR — weekly zone acting as support.</w:t>
      </w:r>
    </w:p>
    <w:p>
      <w:pPr>
        <w:pStyle w:val="ListParagraph"/>
        <w:numPr>
          <w:ilvl w:val="0"/>
          <w:numId w:val="2"/>
        </w:numPr>
        <w:spacing w:after="60" w:before="0"/>
      </w:pPr>
      <w:r>
        <w:rPr>
          <w:rFonts w:ascii="Arial" w:cs="Arial" w:eastAsia="Arial" w:hAnsi="Arial"/>
          <w:sz w:val="20"/>
          <w:szCs w:val="20"/>
        </w:rPr>
        <w:t xml:space="preserve">BULL_OB|LOW context: +19.7% — weaker but still tradeable.</w:t>
      </w:r>
    </w:p>
    <w:p>
      <w:pPr>
        <w:pStyle w:val="ListParagraph"/>
        <w:numPr>
          <w:ilvl w:val="0"/>
          <w:numId w:val="2"/>
        </w:numPr>
        <w:spacing w:after="60" w:before="0"/>
      </w:pPr>
      <w:r>
        <w:rPr>
          <w:rFonts w:ascii="Arial" w:cs="Arial" w:eastAsia="Arial" w:hAnsi="Arial"/>
          <w:sz w:val="20"/>
          <w:szCs w:val="20"/>
        </w:rPr>
        <w:t xml:space="preserve">Unlike BEAR_OB, BULL_OB works in all MTF contexts — no MTF filter needed.</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 CE options + futures pyramid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DTE=0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Options only (gamma play) — highest P&amp;L at +121.4%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DTE=4+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Options primary. Futures add for clean linear exposure.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Gamma regime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Works in BOTH LONG_GAMMA (+65.7%) and NO_FLIP (+62.3%) — no 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Same dynamic exit as BEAR_OB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Best DTE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DTE=0 most explosive, DTE=4+ most consistent</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2.3 BULL_FVG — Bullish Fair Value Gap</w:t>
      </w:r>
    </w:p>
    <w:p>
      <w:pPr>
        <w:spacing w:after="80" w:before="0"/>
      </w:pPr>
      <w:r>
        <w:rPr>
          <w:rFonts w:ascii="Arial" w:cs="Arial" w:eastAsia="Arial" w:hAnsi="Arial"/>
          <w:sz w:val="20"/>
          <w:szCs w:val="20"/>
        </w:rPr>
        <w:t xml:space="preserve">A price gap between candle i-1 high and candle i+1 low of &gt;0.10%. Represents an imbalance that institutions leave behind in fast moves. The most structurally robust pattern — works across all volatility regimes.</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Key Characteristics</w:t>
      </w:r>
    </w:p>
    <w:p>
      <w:pPr>
        <w:pStyle w:val="ListParagraph"/>
        <w:numPr>
          <w:ilvl w:val="0"/>
          <w:numId w:val="2"/>
        </w:numPr>
        <w:spacing w:after="60" w:before="0"/>
      </w:pPr>
      <w:r>
        <w:rPr>
          <w:rFonts w:ascii="Arial" w:cs="Arial" w:eastAsia="Arial" w:hAnsi="Arial"/>
          <w:sz w:val="20"/>
          <w:szCs w:val="20"/>
        </w:rPr>
        <w:t xml:space="preserve">STRUCTURAL ★★★ — only pattern confirmed across HIGH, MID, and LOW volatility regimes.</w:t>
      </w:r>
    </w:p>
    <w:p>
      <w:pPr>
        <w:pStyle w:val="ListParagraph"/>
        <w:numPr>
          <w:ilvl w:val="0"/>
          <w:numId w:val="2"/>
        </w:numPr>
        <w:spacing w:after="60" w:before="0"/>
      </w:pPr>
      <w:r>
        <w:rPr>
          <w:rFonts w:ascii="Arial" w:cs="Arial" w:eastAsia="Arial" w:hAnsi="Arial"/>
          <w:sz w:val="20"/>
          <w:szCs w:val="20"/>
        </w:rPr>
        <w:t xml:space="preserve">No sequence filter adds meaningful value — trade all BULL_FVGs with time zone awareness.</w:t>
      </w:r>
    </w:p>
    <w:p>
      <w:pPr>
        <w:pStyle w:val="ListParagraph"/>
        <w:numPr>
          <w:ilvl w:val="0"/>
          <w:numId w:val="2"/>
        </w:numPr>
        <w:spacing w:after="60" w:before="0"/>
      </w:pPr>
      <w:r>
        <w:rPr>
          <w:rFonts w:ascii="Arial" w:cs="Arial" w:eastAsia="Arial" w:hAnsi="Arial"/>
          <w:sz w:val="20"/>
          <w:szCs w:val="20"/>
        </w:rPr>
        <w:t xml:space="preserve">MTF context adds +10.8% lift — HIGH context best but all contexts positive.</w:t>
      </w:r>
    </w:p>
    <w:p>
      <w:pPr>
        <w:pStyle w:val="ListParagraph"/>
        <w:numPr>
          <w:ilvl w:val="0"/>
          <w:numId w:val="2"/>
        </w:numPr>
        <w:spacing w:after="60" w:before="0"/>
      </w:pPr>
      <w:r>
        <w:rPr>
          <w:rFonts w:ascii="Arial" w:cs="Arial" w:eastAsia="Arial" w:hAnsi="Arial"/>
          <w:sz w:val="20"/>
          <w:szCs w:val="20"/>
        </w:rPr>
        <w:t xml:space="preserve">LOW_IV environment: -14.3% expectancy — reduce or skip when atm_iv &lt; 12%.</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Time Zone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900"/>
        <w:gridCol w:w="410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 Zone</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T+30m Exp</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WR</w:t>
            </w:r>
          </w:p>
        </w:tc>
        <w:tc>
          <w:tcPr>
            <w:tcW w:type="dxa" w:w="4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Midday 11:30–13:30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85%</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Best zone — full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Afternoon 13:30–15:30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Good — full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Morning 10:00–11:30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+17.1%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64%</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Acceptable — normal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 09:15–10:00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48%</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Weak — 0.5× or skip</w:t>
            </w:r>
          </w:p>
        </w:tc>
      </w:tr>
    </w:tbl>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 CE options only — no futures (T2 trigger only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normal | 0.5× if atm_iv &lt; 12% | 0.5× if OPEN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Dynamic exit — same as 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DTE=0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+51.8% expectancy — take it, options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MTF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Optional — HIGH context adds +10.8% but all contexts positive</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2.4 JUDAS_BULL — Opening Trap Reversal</w:t>
      </w:r>
    </w:p>
    <w:p>
      <w:pPr>
        <w:spacing w:after="80" w:before="0"/>
      </w:pPr>
      <w:r>
        <w:rPr>
          <w:rFonts w:ascii="Arial" w:cs="Arial" w:eastAsia="Arial" w:hAnsi="Arial"/>
          <w:sz w:val="20"/>
          <w:szCs w:val="20"/>
        </w:rPr>
        <w:t xml:space="preserve">Opening 15-minute move of &gt;0.25% downward, followed by a reversal of &gt;50% of the initial move. Institutions create an opening trap — appearing to sell, then aggressively buying. Confirmed LIKELY STRUCTURAL across HIGH and LOW volatility.</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Key Characteristics</w:t>
      </w:r>
    </w:p>
    <w:p>
      <w:pPr>
        <w:pStyle w:val="ListParagraph"/>
        <w:numPr>
          <w:ilvl w:val="0"/>
          <w:numId w:val="2"/>
        </w:numPr>
        <w:spacing w:after="60" w:before="0"/>
      </w:pPr>
      <w:r>
        <w:rPr>
          <w:rFonts w:ascii="Arial" w:cs="Arial" w:eastAsia="Arial" w:hAnsi="Arial"/>
          <w:sz w:val="20"/>
          <w:szCs w:val="20"/>
        </w:rPr>
        <w:t xml:space="preserve">LONG_GAMMA regime required — works in LONG_GAMMA (+24.1%) but not NO_FLIP (-5.2%).</w:t>
      </w:r>
    </w:p>
    <w:p>
      <w:pPr>
        <w:pStyle w:val="ListParagraph"/>
        <w:numPr>
          <w:ilvl w:val="0"/>
          <w:numId w:val="2"/>
        </w:numPr>
        <w:spacing w:after="60" w:before="0"/>
      </w:pPr>
      <w:r>
        <w:rPr>
          <w:rFonts w:ascii="Arial" w:cs="Arial" w:eastAsia="Arial" w:hAnsi="Arial"/>
          <w:sz w:val="20"/>
          <w:szCs w:val="20"/>
        </w:rPr>
        <w:t xml:space="preserve">HIGH MTF context lifts expectancy by +42.4 percentage points (+56.6% vs +14.1%).</w:t>
      </w:r>
    </w:p>
    <w:p>
      <w:pPr>
        <w:pStyle w:val="ListParagraph"/>
        <w:numPr>
          <w:ilvl w:val="0"/>
          <w:numId w:val="2"/>
        </w:numPr>
        <w:spacing w:after="60" w:before="0"/>
      </w:pPr>
      <w:r>
        <w:rPr>
          <w:rFonts w:ascii="Arial" w:cs="Arial" w:eastAsia="Arial" w:hAnsi="Arial"/>
          <w:sz w:val="20"/>
          <w:szCs w:val="20"/>
        </w:rPr>
        <w:t xml:space="preserve">Minimum 30-minute hold required — the reversal develops over time, not instantly.</w:t>
      </w:r>
    </w:p>
    <w:p>
      <w:pPr>
        <w:pStyle w:val="ListParagraph"/>
        <w:numPr>
          <w:ilvl w:val="0"/>
          <w:numId w:val="2"/>
        </w:numPr>
        <w:spacing w:after="60" w:before="0"/>
      </w:pPr>
      <w:r>
        <w:rPr>
          <w:rFonts w:ascii="Arial" w:cs="Arial" w:eastAsia="Arial" w:hAnsi="Arial"/>
          <w:sz w:val="20"/>
          <w:szCs w:val="20"/>
        </w:rPr>
        <w:t xml:space="preserve">HIGH_IV slightly degrades Judas (+14.2% vs +27.2% in LOW_IV) — no IV scaling, fixed size.</w:t>
      </w:r>
    </w:p>
    <w:p>
      <w:pPr>
        <w:pStyle w:val="ListParagraph"/>
        <w:numPr>
          <w:ilvl w:val="0"/>
          <w:numId w:val="2"/>
        </w:numPr>
        <w:spacing w:after="60" w:before="0"/>
      </w:pPr>
      <w:r>
        <w:rPr>
          <w:rFonts w:ascii="Arial" w:cs="Arial" w:eastAsia="Arial" w:hAnsi="Arial"/>
          <w:sz w:val="20"/>
          <w:szCs w:val="20"/>
        </w:rPr>
        <w:t xml:space="preserve">Pyramid does not work at 5-minute window — reversal takes 15-30 minutes to develop.</w:t>
      </w:r>
    </w:p>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 CE options ONLY — no futures pyramid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Fixed 1× lot — no IV scaling, no pyramid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Close of bar 14 (09:29 IST) — Judas swing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Hold minimum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 minutes — do not exit early even if flat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T+30m if losing | T+60m if winning (same dynamic exit)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Gamma regime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KEEP — only trade when gamma_regime = LONG_GAMMA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MTF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 context strongly preferred — +56.6% vs +14.1%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Avoid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HIGH_IV environment (14.2% vs 27.2%) — still trade but at normal size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3. Regime Gates — What to Change</w:t>
      </w:r>
    </w:p>
    <w:p>
      <w:pPr>
        <w:pStyle w:val="Heading2"/>
        <w:spacing w:after="80" w:before="240"/>
      </w:pPr>
      <w:r>
        <w:rPr>
          <w:rFonts w:ascii="Arial" w:cs="Arial" w:eastAsia="Arial" w:hAnsi="Arial"/>
          <w:b/>
          <w:bCs/>
          <w:color w:val="2E75B6"/>
          <w:sz w:val="26"/>
          <w:szCs w:val="26"/>
        </w:rPr>
        <w:t xml:space="preserve">3.1 VIX Gate — REMOVE</w:t>
      </w:r>
    </w:p>
    <w:p>
      <w:pPr>
        <w:spacing w:after="80" w:before="0"/>
      </w:pPr>
      <w:r>
        <w:rPr>
          <w:rFonts w:ascii="Arial" w:cs="Arial" w:eastAsia="Arial" w:hAnsi="Arial"/>
          <w:sz w:val="20"/>
          <w:szCs w:val="20"/>
        </w:rPr>
        <w:t xml:space="preserve">The current rule trade_allowed=False when VIX&gt;20 was introduced assuming high volatility = higher risk = lower edge. Experiment 5 proves this assumption is backwards.</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680"/>
        <w:gridCol w:w="1680"/>
        <w:gridCol w:w="2760"/>
      </w:tblGrid>
      <w:tr>
        <w:trPr>
          <w:tblHeader/>
        </w:trPr>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MED_IV Exp</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HIGH_IV Exp</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HIGH &gt; MED?</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+84.8%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+174.6%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 +89.8pp</w:t>
            </w:r>
          </w:p>
        </w:tc>
        <w:tc>
          <w:tcPr>
            <w:tcW w:type="dxa" w:w="2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REMOVE GATE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BULL_OB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+49.3%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+67.3%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 +18.0pp</w:t>
            </w:r>
          </w:p>
        </w:tc>
        <w:tc>
          <w:tcPr>
            <w:tcW w:type="dxa" w:w="2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REMOVE GATE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BULL_FVG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+25.7%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 +13.1pp</w:t>
            </w:r>
          </w:p>
        </w:tc>
        <w:tc>
          <w:tcPr>
            <w:tcW w:type="dxa" w:w="27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REMOVE GATE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+18.5%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+14.2%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-4.3pp</w:t>
            </w:r>
          </w:p>
        </w:tc>
        <w:tc>
          <w:tcPr>
            <w:tcW w:type="dxa" w:w="276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NEUTRAL — keep fixed size</w:t>
            </w:r>
          </w:p>
        </w:tc>
      </w:tr>
    </w:tbl>
    <w:p>
      <w:pPr>
        <w:spacing w:after="60" w:before="60"/>
      </w:pPr>
      <w:r>
        <w:rPr>
          <w:rFonts w:ascii="Arial" w:cs="Arial" w:eastAsia="Arial" w:hAnsi="Arial"/>
          <w:sz w:val="20"/>
          <w:szCs w:val="20"/>
        </w:rPr>
        <w:t xml:space="preserve"> </w:t>
      </w:r>
    </w:p>
    <w:p>
      <w:pPr>
        <w:pStyle w:val="Heading3"/>
        <w:spacing w:after="60" w:before="160"/>
      </w:pPr>
      <w:r>
        <w:rPr>
          <w:rFonts w:ascii="Arial" w:cs="Arial" w:eastAsia="Arial" w:hAnsi="Arial"/>
          <w:b/>
          <w:bCs/>
          <w:color w:val="595959"/>
          <w:sz w:val="22"/>
          <w:szCs w:val="22"/>
        </w:rPr>
        <w:t xml:space="preserve">Replacement Rule — IV-Scaled Position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680"/>
        <w:gridCol w:w="4440"/>
      </w:tblGrid>
      <w:tr>
        <w:trPr>
          <w:tblHeader/>
        </w:trPr>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atm_iv Range</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VIX Equivalent</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Size Multiplier</w:t>
            </w:r>
          </w:p>
        </w:tc>
        <w:tc>
          <w:tcPr>
            <w:tcW w:type="dxa" w:w="4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VIX &lt; 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 vol — options cheap but edge weaker (BULL_FVG -14.3%)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VIX 15–20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Normal conditions — baseline sizing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&gt; 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VIX &gt; 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Elevated vol — edge amplified (BEAR_OB +174.6%)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Fixed regardless — HIGH_IV slightly degrades Judas</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3.2 Gamma Regime Gate — Partial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4320"/>
      </w:tblGrid>
      <w:tr>
        <w:trPr>
          <w:tblHeader/>
        </w:trPr>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LONG_GAMMA</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NO_FLIP</w:t>
            </w:r>
          </w:p>
        </w:tc>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BULL_OB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+65.7%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+62.3%</w:t>
            </w:r>
          </w:p>
        </w:tc>
        <w:tc>
          <w:tcPr>
            <w:tcW w:type="dxa" w:w="432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REMOVE GATE — works in both</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+19.7%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+124.4%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REMOVE GATE — NO_FLIP actually stronger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BULL_FVG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+28.4%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REMOVE GATE — both positive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+24.1%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-5.2%</w:t>
            </w:r>
          </w:p>
        </w:tc>
        <w:tc>
          <w:tcPr>
            <w:tcW w:type="dxa" w:w="432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KEEP GATE — LONG_GAMMA required</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3.3 Breadth Regime Gate — Selective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3480"/>
      </w:tblGrid>
      <w:tr>
        <w:trPr>
          <w:tblHeader/>
        </w:trPr>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BEARISH breadth: +47.6%, 100% WR</w:t>
            </w:r>
          </w:p>
        </w:tc>
        <w:tc>
          <w:tcPr>
            <w:tcW w:type="dxa" w:w="34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KEEP — adds meaningful lift</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BULL_OB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Works across all breadth regimes</w:t>
            </w:r>
          </w:p>
        </w:tc>
        <w:tc>
          <w:tcPr>
            <w:tcW w:type="dxa" w:w="34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RELAX — no breadth gate needed</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Works across all breadth regimes</w:t>
            </w:r>
          </w:p>
        </w:tc>
        <w:tc>
          <w:tcPr>
            <w:tcW w:type="dxa" w:w="34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RELAX — no breadth gate needed</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4. Execution Framework</w:t>
      </w:r>
    </w:p>
    <w:p>
      <w:pPr>
        <w:pStyle w:val="Heading2"/>
        <w:spacing w:after="80" w:before="240"/>
      </w:pPr>
      <w:r>
        <w:rPr>
          <w:rFonts w:ascii="Arial" w:cs="Arial" w:eastAsia="Arial" w:hAnsi="Arial"/>
          <w:b/>
          <w:bCs/>
          <w:color w:val="2E75B6"/>
          <w:sz w:val="26"/>
          <w:szCs w:val="26"/>
        </w:rPr>
        <w:t xml:space="preserve">4.1 Decision Tree</w:t>
      </w:r>
    </w:p>
    <w:p>
      <w:pPr>
        <w:spacing w:after="80" w:before="0"/>
      </w:pPr>
      <w:r>
        <w:rPr>
          <w:rFonts w:ascii="Arial" w:cs="Arial" w:eastAsia="Arial" w:hAnsi="Arial"/>
          <w:sz w:val="20"/>
          <w:szCs w:val="20"/>
        </w:rPr>
        <w:t xml:space="preserve">For every bar evaluated by the signal engine, apply the following sequence:</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3120"/>
        <w:gridCol w:w="2760"/>
      </w:tblGrid>
      <w:tr>
        <w:trPr>
          <w:tblHeader/>
        </w:trPr>
        <w:tc>
          <w:tcPr>
            <w:tcW w:type="dxa" w:w="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Pass → Continue</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 → Action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Pattern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One of: BULL_OB, BEAR_OB, BULL_FVG, JUDAS_BULL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signal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 only: gamma_regime = LONG_GAMMA?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Continue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Skip trade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Sequence quality (OBs only): IMP_STR?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Continue (IMP_WEK = good)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Skip or 0.5× size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 zone check (OBs): OPEN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Morning/Afternoon → full size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0.5× or skip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MTF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HIGH/MEDIUM → Tier 1 | LOW → Tier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Reduce size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Determine size multiplier from atm_iv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Apply 0.5×/1.0×/1.5×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Capital check: premium × lots ≤ 20% of capital?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Execute trade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Reduce lots or skip</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4.2 Position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Starting capital per symbol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INR 2,00,000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Maximum per trade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 of current capital (premium x lots)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Lot sizes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NIFTY: 25 units | SENSEX: 15 units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Base lots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lot (Fixed) | 1→3→6 lots (Pyramid for OBs)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Ruin protection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Halt trading if capital &lt; INR 10,000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atm_iv &lt; 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0.5x multiplier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atm_iv 12-18%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1.0x multiplier (normal)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atm_iv &gt; 18%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1.5x multiplier (elevated vol = more 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Always 1.0x — fixed regardless of IV</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4.3 Exit Rules (v2 Dynamic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P&amp;L negative at T+30m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all lots immediately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Cut premium decay — losers rarely recover enough to justify theta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P&amp;L positive, gain &lt; 50% at T+30m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Hold all lots to T+60m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Winner with room to run — give it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P&amp;L positive, gain ≥ 50% at T+30m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half lots at T+30m, hold rest to T+60m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Lock gains, preserve upside — adds ~INR 15-20k on major trending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T+60m reached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all remaining lots unconditionally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Hard intraday close — no overnight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Session end approaching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Exit if T+60m would breach 15:30 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Never hold into post-close</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4.4 Pyramid Timing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40"/>
        <w:gridCol w:w="2640"/>
        <w:gridCol w:w="2400"/>
      </w:tblGrid>
      <w:tr>
        <w:trPr>
          <w:tblHeader/>
        </w:trPr>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T2 Check</w:t>
            </w:r>
          </w:p>
        </w:tc>
        <w:tc>
          <w:tcPr>
            <w:tcW w:type="dxa" w:w="2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T3 Check</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BULL_OB / BEAR_OB</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T+5m: if spot moved 0.20% in direction → add 2 lots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T+10m: if spot moved 0.40% → add 3 lots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OBs confirm in 5 min (80-93% T2 trigger rate)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JUDAS_BULL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pyramid — options only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Move takes 15-30 min — 5-min window too fast</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BULL_FVG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pyramid — options only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T2 trigger only 12% — futures not worth it</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5. Portfolio Simulation Results</w:t>
      </w:r>
    </w:p>
    <w:p>
      <w:pPr>
        <w:spacing w:after="80" w:before="0"/>
      </w:pPr>
      <w:r>
        <w:rPr>
          <w:rFonts w:ascii="Arial" w:cs="Arial" w:eastAsia="Arial" w:hAnsi="Arial"/>
          <w:sz w:val="20"/>
          <w:szCs w:val="20"/>
        </w:rPr>
        <w:t xml:space="preserve">Backtested on Apr 2025 – Aug 2025 (option bar coverage gap Sep 2025 onwards limits full-year simulation). Starting capital INR 2,00,000 per symbol.</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5.1 v1 Results — Fixed T+30m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1200"/>
        <w:gridCol w:w="2400"/>
        <w:gridCol w:w="2400"/>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Trades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Win Rate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Fixed 1-lot Return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Pyramid Return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Max DD (Pyramid)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NIFTY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76.9%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+49%  (INR 2,97,955)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+130%  (INR 4,59,528)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SENSEX</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+135% (INR 4,70,574)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+306%  (INR 8,12,424)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Combined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+92%  (INR 7,68,529)</w:t>
            </w:r>
          </w:p>
        </w:tc>
        <w:tc>
          <w:tcPr>
            <w:tcW w:type="dxa" w:w="2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+218% (INR 12,71,952)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bl>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5.2 v2 Results — Dynamic Exit + 5-min Bar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1440"/>
        <w:gridCol w:w="2640"/>
        <w:gridCol w:w="144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2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Fixed Return</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Fixed Max DD</w:t>
            </w:r>
          </w:p>
        </w:tc>
        <w:tc>
          <w:tcPr>
            <w:tcW w:type="dxa" w:w="2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Pyramid Return</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Pyramid Max DD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NIFTY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+55%  (INR 3,10,199)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+136% (INR 4,70,956)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SENSEX</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+125% (INR 4,49,166)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+298% (INR 7,96,077)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6.1%</w:t>
            </w:r>
          </w:p>
        </w:tc>
      </w:tr>
    </w:tbl>
    <w:p>
      <w:pPr>
        <w:spacing w:after="60" w:before="60"/>
      </w:pPr>
      <w:r>
        <w:rPr>
          <w:rFonts w:ascii="Arial" w:cs="Arial" w:eastAsia="Arial" w:hAnsi="Arial"/>
          <w:sz w:val="20"/>
          <w:szCs w:val="20"/>
        </w:rPr>
        <w:t xml:space="preserve"> </w:t>
      </w:r>
    </w:p>
    <w:p>
      <w:pPr>
        <w:spacing w:after="80" w:before="0"/>
      </w:pPr>
      <w:r>
        <w:rPr>
          <w:rFonts w:ascii="Arial" w:cs="Arial" w:eastAsia="Arial" w:hAnsi="Arial"/>
          <w:sz w:val="20"/>
          <w:szCs w:val="20"/>
        </w:rPr>
        <w:t xml:space="preserve">v2 improves NIFTY returns (+6% fixed, +6% pyramid). Dynamic exit cuts losers at T+30m, rides winners to T+60m. Half-exit mechanism adds INR 15-20k on major trending days (May 15 2025 BULL_OB trades).</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5.3 Important Caveats</w:t>
      </w:r>
    </w:p>
    <w:p>
      <w:pPr>
        <w:pStyle w:val="ListParagraph"/>
        <w:numPr>
          <w:ilvl w:val="0"/>
          <w:numId w:val="2"/>
        </w:numPr>
        <w:spacing w:after="60" w:before="0"/>
      </w:pPr>
      <w:r>
        <w:rPr>
          <w:rFonts w:ascii="Arial" w:cs="Arial" w:eastAsia="Arial" w:hAnsi="Arial"/>
          <w:sz w:val="20"/>
          <w:szCs w:val="20"/>
        </w:rPr>
        <w:t xml:space="preserve">Data covers Apr-Aug 2025 only (5 months) — option coverage gap Sep 2025 onwards.</w:t>
      </w:r>
    </w:p>
    <w:p>
      <w:pPr>
        <w:pStyle w:val="ListParagraph"/>
        <w:numPr>
          <w:ilvl w:val="0"/>
          <w:numId w:val="2"/>
        </w:numPr>
        <w:spacing w:after="60" w:before="0"/>
      </w:pPr>
      <w:r>
        <w:rPr>
          <w:rFonts w:ascii="Arial" w:cs="Arial" w:eastAsia="Arial" w:hAnsi="Arial"/>
          <w:sz w:val="20"/>
          <w:szCs w:val="20"/>
        </w:rPr>
        <w:t xml:space="preserve">May 15 2025 contributed ~50% of NIFTY returns and ~40% of SENSEX returns — a single exceptional trending day.</w:t>
      </w:r>
    </w:p>
    <w:p>
      <w:pPr>
        <w:pStyle w:val="ListParagraph"/>
        <w:numPr>
          <w:ilvl w:val="0"/>
          <w:numId w:val="2"/>
        </w:numPr>
        <w:spacing w:after="60" w:before="0"/>
      </w:pPr>
      <w:r>
        <w:rPr>
          <w:rFonts w:ascii="Arial" w:cs="Arial" w:eastAsia="Arial" w:hAnsi="Arial"/>
          <w:sz w:val="20"/>
          <w:szCs w:val="20"/>
        </w:rPr>
        <w:t xml:space="preserve">Bid-ask spread not modelled — real P&amp;L approximately 5-15% lower.</w:t>
      </w:r>
    </w:p>
    <w:p>
      <w:pPr>
        <w:pStyle w:val="ListParagraph"/>
        <w:numPr>
          <w:ilvl w:val="0"/>
          <w:numId w:val="2"/>
        </w:numPr>
        <w:spacing w:after="60" w:before="0"/>
      </w:pPr>
      <w:r>
        <w:rPr>
          <w:rFonts w:ascii="Arial" w:cs="Arial" w:eastAsia="Arial" w:hAnsi="Arial"/>
          <w:sz w:val="20"/>
          <w:szCs w:val="20"/>
        </w:rPr>
        <w:t xml:space="preserve">Brokerage not modelled — add INR 40-80 per lot per trade.</w:t>
      </w:r>
    </w:p>
    <w:p>
      <w:pPr>
        <w:pStyle w:val="ListParagraph"/>
        <w:numPr>
          <w:ilvl w:val="0"/>
          <w:numId w:val="2"/>
        </w:numPr>
        <w:spacing w:after="60" w:before="0"/>
      </w:pPr>
      <w:r>
        <w:rPr>
          <w:rFonts w:ascii="Arial" w:cs="Arial" w:eastAsia="Arial" w:hAnsi="Arial"/>
          <w:sz w:val="20"/>
          <w:szCs w:val="20"/>
        </w:rPr>
        <w:t xml:space="preserve">Net realistic return approximately 85-92% of gross simulated return.</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6. Patterns Permanently Excluded</w:t>
      </w:r>
    </w:p>
    <w:p>
      <w:pPr>
        <w:spacing w:after="80" w:before="0"/>
      </w:pPr>
      <w:r>
        <w:rPr>
          <w:rFonts w:ascii="Arial" w:cs="Arial" w:eastAsia="Arial" w:hAnsi="Arial"/>
          <w:sz w:val="20"/>
          <w:szCs w:val="20"/>
        </w:rPr>
        <w:t xml:space="preserve">The following patterns showed consistent negative expectancy across all volatility regimes, MTF contexts, and DTE buckets. They are excluded from the signal universe permanently.</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960"/>
        <w:gridCol w:w="5520"/>
      </w:tblGrid>
      <w:tr>
        <w:trPr>
          <w:tblHeader/>
        </w:trPr>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T+30m Exp</w:t>
            </w:r>
          </w:p>
        </w:tc>
        <w:tc>
          <w:tcPr>
            <w:tcW w:type="dxa" w:w="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Win Rate</w:t>
            </w:r>
          </w:p>
        </w:tc>
        <w:tc>
          <w:tcPr>
            <w:tcW w:type="dxa" w:w="5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BEAR_FVG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Negative in all regimes, all momentum contexts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-29.7%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Option theta kills — underlying moves too weak</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BEAR_BREAKER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Inverse edge — structurally broken concept on Indian indices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BULL_BREAKER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inverse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Fires at wrong side of institutional zone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BOS_BEAR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Marginal negative — not worth the risk</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MSS_BEAR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Consistent loser as options trade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JUDAS_BEAR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38%</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Options trade fails — direction works but theta kills it</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SMDM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neutral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structural difference expiry vs normal day (Exp 9)</w:t>
            </w:r>
          </w:p>
        </w:tc>
      </w:tr>
    </w:tbl>
    <w:p>
      <w:pPr>
        <w:spacing w:after="60" w:before="60"/>
      </w:pPr>
      <w:r>
        <w:rPr>
          <w:rFonts w:ascii="Arial" w:cs="Arial" w:eastAsia="Arial" w:hAnsi="Arial"/>
          <w:sz w:val="20"/>
          <w:szCs w:val="20"/>
        </w:rPr>
        <w:t xml:space="preserve"> </w:t>
      </w:r>
    </w:p>
    <w:p>
      <w:pPr>
        <w:pStyle w:val="Heading1"/>
        <w:pBdr>
          <w:bottom w:val="single" w:color="2E75B6" w:sz="6" w:space="1"/>
        </w:pBdr>
        <w:spacing w:after="120" w:before="360"/>
      </w:pPr>
      <w:r>
        <w:rPr>
          <w:rFonts w:ascii="Arial" w:cs="Arial" w:eastAsia="Arial" w:hAnsi="Arial"/>
          <w:b/>
          <w:bCs/>
          <w:color w:val="1F3864"/>
          <w:sz w:val="32"/>
          <w:szCs w:val="32"/>
        </w:rPr>
        <w:t xml:space="preserve">7. Implementation Priorities</w:t>
      </w:r>
    </w:p>
    <w:p>
      <w:pPr>
        <w:pStyle w:val="Heading2"/>
        <w:spacing w:after="80" w:before="240"/>
      </w:pPr>
      <w:r>
        <w:rPr>
          <w:rFonts w:ascii="Arial" w:cs="Arial" w:eastAsia="Arial" w:hAnsi="Arial"/>
          <w:b/>
          <w:bCs/>
          <w:color w:val="2E75B6"/>
          <w:sz w:val="26"/>
          <w:szCs w:val="26"/>
        </w:rPr>
        <w:t xml:space="preserve">7.1 Immediate Changes (VIX Gate)</w:t>
      </w:r>
    </w:p>
    <w:p>
      <w:pPr>
        <w:pStyle w:val="ListParagraph"/>
        <w:numPr>
          <w:ilvl w:val="0"/>
          <w:numId w:val="2"/>
        </w:numPr>
        <w:spacing w:after="60" w:before="0"/>
      </w:pPr>
      <w:r>
        <w:rPr>
          <w:rFonts w:ascii="Arial" w:cs="Arial" w:eastAsia="Arial" w:hAnsi="Arial"/>
          <w:sz w:val="20"/>
          <w:szCs w:val="20"/>
        </w:rPr>
        <w:t xml:space="preserve">Remove trade_allowed=False when VIX&gt;20 from build_trade_signal.py</w:t>
      </w:r>
    </w:p>
    <w:p>
      <w:pPr>
        <w:pStyle w:val="ListParagraph"/>
        <w:numPr>
          <w:ilvl w:val="0"/>
          <w:numId w:val="2"/>
        </w:numPr>
        <w:spacing w:after="60" w:before="0"/>
      </w:pPr>
      <w:r>
        <w:rPr>
          <w:rFonts w:ascii="Arial" w:cs="Arial" w:eastAsia="Arial" w:hAnsi="Arial"/>
          <w:sz w:val="20"/>
          <w:szCs w:val="20"/>
        </w:rPr>
        <w:t xml:space="preserve">Add atm_iv-scaled lot multiplier: read atm_iv from hist_market_state at signal time</w:t>
      </w:r>
    </w:p>
    <w:p>
      <w:pPr>
        <w:pStyle w:val="ListParagraph"/>
        <w:numPr>
          <w:ilvl w:val="0"/>
          <w:numId w:val="2"/>
        </w:numPr>
        <w:spacing w:after="60" w:before="0"/>
      </w:pPr>
      <w:r>
        <w:rPr>
          <w:rFonts w:ascii="Arial" w:cs="Arial" w:eastAsia="Arial" w:hAnsi="Arial"/>
          <w:sz w:val="20"/>
          <w:szCs w:val="20"/>
        </w:rPr>
        <w:t xml:space="preserve">Apply multiplier: &lt;12% = 0.5×, 12-18% = 1.0×, &gt;18% = 1.5× (not for JUDAS_BULL)</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7.2 Signal Quality Filter (Experiment 8)</w:t>
      </w:r>
    </w:p>
    <w:p>
      <w:pPr>
        <w:pStyle w:val="ListParagraph"/>
        <w:numPr>
          <w:ilvl w:val="0"/>
          <w:numId w:val="2"/>
        </w:numPr>
        <w:spacing w:after="60" w:before="0"/>
      </w:pPr>
      <w:r>
        <w:rPr>
          <w:rFonts w:ascii="Arial" w:cs="Arial" w:eastAsia="Arial" w:hAnsi="Arial"/>
          <w:sz w:val="20"/>
          <w:szCs w:val="20"/>
        </w:rPr>
        <w:t xml:space="preserve">For BEAR_OB and BULL_OB: compute IMP_STR = sum(|return|) of 3 bars before OB &gt;= 0.30%</w:t>
      </w:r>
    </w:p>
    <w:p>
      <w:pPr>
        <w:pStyle w:val="ListParagraph"/>
        <w:numPr>
          <w:ilvl w:val="0"/>
          <w:numId w:val="2"/>
        </w:numPr>
        <w:spacing w:after="60" w:before="0"/>
      </w:pPr>
      <w:r>
        <w:rPr>
          <w:rFonts w:ascii="Arial" w:cs="Arial" w:eastAsia="Arial" w:hAnsi="Arial"/>
          <w:sz w:val="20"/>
          <w:szCs w:val="20"/>
        </w:rPr>
        <w:t xml:space="preserve">If IMP_STR: skip trade or reduce to 0.5× lots</w:t>
      </w:r>
    </w:p>
    <w:p>
      <w:pPr>
        <w:pStyle w:val="ListParagraph"/>
        <w:numPr>
          <w:ilvl w:val="0"/>
          <w:numId w:val="2"/>
        </w:numPr>
        <w:spacing w:after="60" w:before="0"/>
      </w:pPr>
      <w:r>
        <w:rPr>
          <w:rFonts w:ascii="Arial" w:cs="Arial" w:eastAsia="Arial" w:hAnsi="Arial"/>
          <w:sz w:val="20"/>
          <w:szCs w:val="20"/>
        </w:rPr>
        <w:t xml:space="preserve">For BEAR_OB: compute MOM_YES = at least 2 of 3 preceding bars are bullish candles</w:t>
      </w:r>
    </w:p>
    <w:p>
      <w:pPr>
        <w:pStyle w:val="ListParagraph"/>
        <w:numPr>
          <w:ilvl w:val="0"/>
          <w:numId w:val="2"/>
        </w:numPr>
        <w:spacing w:after="60" w:before="0"/>
      </w:pPr>
      <w:r>
        <w:rPr>
          <w:rFonts w:ascii="Arial" w:cs="Arial" w:eastAsia="Arial" w:hAnsi="Arial"/>
          <w:sz w:val="20"/>
          <w:szCs w:val="20"/>
        </w:rPr>
        <w:t xml:space="preserve">If MOM_YES + IMP_WEK + Morning session: apply 1.5× Tier 1 sizing</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7.3 Gamma Regime Gate Relaxation</w:t>
      </w:r>
    </w:p>
    <w:p>
      <w:pPr>
        <w:pStyle w:val="ListParagraph"/>
        <w:numPr>
          <w:ilvl w:val="0"/>
          <w:numId w:val="2"/>
        </w:numPr>
        <w:spacing w:after="60" w:before="0"/>
      </w:pPr>
      <w:r>
        <w:rPr>
          <w:rFonts w:ascii="Arial" w:cs="Arial" w:eastAsia="Arial" w:hAnsi="Arial"/>
          <w:sz w:val="20"/>
          <w:szCs w:val="20"/>
        </w:rPr>
        <w:t xml:space="preserve">Remove gamma_regime = LONG_GAMMA gate for BULL_OB, BEAR_OB, BULL_FVG</w:t>
      </w:r>
    </w:p>
    <w:p>
      <w:pPr>
        <w:pStyle w:val="ListParagraph"/>
        <w:numPr>
          <w:ilvl w:val="0"/>
          <w:numId w:val="2"/>
        </w:numPr>
        <w:spacing w:after="60" w:before="0"/>
      </w:pPr>
      <w:r>
        <w:rPr>
          <w:rFonts w:ascii="Arial" w:cs="Arial" w:eastAsia="Arial" w:hAnsi="Arial"/>
          <w:sz w:val="20"/>
          <w:szCs w:val="20"/>
        </w:rPr>
        <w:t xml:space="preserve">Keep gamma_regime = LONG_GAMMA gate for JUDAS_BULL only</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7.4 Dynamic Exit (v2)</w:t>
      </w:r>
    </w:p>
    <w:p>
      <w:pPr>
        <w:pStyle w:val="ListParagraph"/>
        <w:numPr>
          <w:ilvl w:val="0"/>
          <w:numId w:val="2"/>
        </w:numPr>
        <w:spacing w:after="60" w:before="0"/>
      </w:pPr>
      <w:r>
        <w:rPr>
          <w:rFonts w:ascii="Arial" w:cs="Arial" w:eastAsia="Arial" w:hAnsi="Arial"/>
          <w:sz w:val="20"/>
          <w:szCs w:val="20"/>
        </w:rPr>
        <w:t xml:space="preserve">At T+30m: if P&amp;L negative → exit. If P&amp;L &gt;= 50% gain → half-exit. If positive &lt; 50% → hold to T+60m.</w:t>
      </w:r>
    </w:p>
    <w:p>
      <w:pPr>
        <w:pStyle w:val="ListParagraph"/>
        <w:numPr>
          <w:ilvl w:val="0"/>
          <w:numId w:val="2"/>
        </w:numPr>
        <w:spacing w:after="60" w:before="0"/>
      </w:pPr>
      <w:r>
        <w:rPr>
          <w:rFonts w:ascii="Arial" w:cs="Arial" w:eastAsia="Arial" w:hAnsi="Arial"/>
          <w:sz w:val="20"/>
          <w:szCs w:val="20"/>
        </w:rPr>
        <w:t xml:space="preserve">At T+60m: exit unconditionally</w:t>
      </w:r>
    </w:p>
    <w:p>
      <w:pPr>
        <w:spacing w:after="60" w:before="60"/>
      </w:pPr>
      <w:r>
        <w:rPr>
          <w:rFonts w:ascii="Arial" w:cs="Arial" w:eastAsia="Arial" w:hAnsi="Arial"/>
          <w:sz w:val="20"/>
          <w:szCs w:val="20"/>
        </w:rPr>
        <w:t xml:space="preserve"> </w:t>
      </w:r>
    </w:p>
    <w:p>
      <w:pPr>
        <w:pStyle w:val="Heading2"/>
        <w:spacing w:after="80" w:before="240"/>
      </w:pPr>
      <w:r>
        <w:rPr>
          <w:rFonts w:ascii="Arial" w:cs="Arial" w:eastAsia="Arial" w:hAnsi="Arial"/>
          <w:b/>
          <w:bCs/>
          <w:color w:val="2E75B6"/>
          <w:sz w:val="26"/>
          <w:szCs w:val="26"/>
        </w:rPr>
        <w:t xml:space="preserve">7.5 Open Research</w:t>
      </w:r>
    </w:p>
    <w:p>
      <w:pPr>
        <w:pStyle w:val="ListParagraph"/>
        <w:numPr>
          <w:ilvl w:val="0"/>
          <w:numId w:val="2"/>
        </w:numPr>
        <w:spacing w:after="60" w:before="0"/>
      </w:pPr>
      <w:r>
        <w:rPr>
          <w:rFonts w:ascii="Arial" w:cs="Arial" w:eastAsia="Arial" w:hAnsi="Arial"/>
          <w:sz w:val="20"/>
          <w:szCs w:val="20"/>
        </w:rPr>
        <w:t xml:space="preserve">Experiment 12 Option A: rerun repeatability with correct phase boundaries once full-year option coverage is available</w:t>
      </w:r>
    </w:p>
    <w:p>
      <w:pPr>
        <w:pStyle w:val="ListParagraph"/>
        <w:numPr>
          <w:ilvl w:val="0"/>
          <w:numId w:val="2"/>
        </w:numPr>
        <w:spacing w:after="60" w:before="0"/>
      </w:pPr>
      <w:r>
        <w:rPr>
          <w:rFonts w:ascii="Arial" w:cs="Arial" w:eastAsia="Arial" w:hAnsi="Arial"/>
          <w:sz w:val="20"/>
          <w:szCs w:val="20"/>
        </w:rPr>
        <w:t xml:space="preserve">Full-year portfolio simulation: requires backfilling option bar coverage Sep 2025 – Mar 2026</w:t>
      </w:r>
    </w:p>
    <w:p>
      <w:pPr>
        <w:pStyle w:val="ListParagraph"/>
        <w:numPr>
          <w:ilvl w:val="0"/>
          <w:numId w:val="2"/>
        </w:numPr>
        <w:spacing w:after="60" w:before="0"/>
      </w:pPr>
      <w:r>
        <w:rPr>
          <w:rFonts w:ascii="Arial" w:cs="Arial" w:eastAsia="Arial" w:hAnsi="Arial"/>
          <w:sz w:val="20"/>
          <w:szCs w:val="20"/>
        </w:rPr>
        <w:t xml:space="preserve">VIX backfill: store India VIX at runtime in gamma_metrics for future analysis</w:t>
      </w:r>
    </w:p>
    <w:p>
      <w:pPr>
        <w:spacing w:after="60" w:before="60"/>
      </w:pPr>
      <w:r>
        <w:rPr>
          <w:rFonts w:ascii="Arial" w:cs="Arial" w:eastAsia="Arial" w:hAnsi="Arial"/>
          <w:sz w:val="20"/>
          <w:szCs w:val="20"/>
        </w:rPr>
        <w:t xml:space="preserve"> </w:t>
      </w:r>
    </w:p>
    <w:p>
      <w:pPr>
        <w:pStyle w:val="Heading1"/>
        <w:pBdr>
          <w:bottom w:val="single" w:color="2E75B6" w:sz="6" w:space="1"/>
        </w:pBdr>
        <w:spacing w:after="120" w:before="360"/>
      </w:pPr>
      <w:r>
        <w:rPr>
          <w:rFonts w:ascii="Arial" w:cs="Arial" w:eastAsia="Arial" w:hAnsi="Arial"/>
          <w:b/>
          <w:bCs/>
          <w:color w:val="1F3864"/>
          <w:sz w:val="32"/>
          <w:szCs w:val="32"/>
        </w:rPr>
        <w:t xml:space="preserve">8. Data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Columns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hist_spot_bars_1m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instrument_id, bar_ts, trade_date, open, high, low, close, is_pre_market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hist_option_bars_1m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instrument_id, bar_ts, trade_date, expiry_date, strike, option_type, close. Coverage sparse after Aug 2025.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hist_market_state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symbol, bar_ts, trade_date, spot, gamma_regime, atm_iv, momentum_regime, breadth_regime. Use atm_iv as VIX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hist_future_bars_1m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NIFTY: contract_series=1 (continuous). SENSEX: contract_series=0 (individual). Columns: instrument_id, bar_ts, trade_date, open, high, low,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market_spot_snapshots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 created_at, ts, symbol, spot, source_table, source_id, raw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system_config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 config_key, config_value, value_type, description, active, updated_at, updated_by,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gamma_metrics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ts, symbol, spot, net_gex, flip_level, vix (NULL historically), regime, straddle_atm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VIX not stored historically. breadth_regime NULL before 2025-07-16. Option coverage dense Apr-Aug 2025, sparse Sep 2025 onwards.</w:t>
            </w:r>
          </w:p>
        </w:tc>
      </w:tr>
    </w:tbl>
    <w:p>
      <w:pPr>
        <w:spacing w:after="60" w:before="60"/>
      </w:pPr>
      <w:r>
        <w:rPr>
          <w:rFonts w:ascii="Arial" w:cs="Arial" w:eastAsia="Arial" w:hAnsi="Arial"/>
          <w:sz w:val="20"/>
          <w:szCs w:val="20"/>
        </w:rPr>
        <w:t xml:space="preserve"> </w:t>
      </w:r>
    </w:p>
    <w:p>
      <w:pPr>
        <w:pStyle w:val="Heading1"/>
        <w:pBdr>
          <w:bottom w:val="single" w:color="2E75B6" w:sz="6" w:space="1"/>
        </w:pBdr>
        <w:spacing w:after="120" w:before="360"/>
      </w:pPr>
      <w:r>
        <w:rPr>
          <w:rFonts w:ascii="Arial" w:cs="Arial" w:eastAsia="Arial" w:hAnsi="Arial"/>
          <w:b/>
          <w:bCs/>
          <w:color w:val="1F3864"/>
          <w:sz w:val="32"/>
          <w:szCs w:val="32"/>
        </w:rPr>
        <w:t xml:space="preserve">Research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Experiment</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Symmetric return distribution</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Options P&amp;L simulation</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Futures vs Options vs Combined</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Pyramid entry v1 + v2</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VIX/ATM IV stress test</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Pre-pattern sequence detection</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SMDM expiry day sweeps</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ICT pattern detection</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MTF + CE + DTE</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MTF x Options P&amp;L</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ICT x MERDIAN regime intersection</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Repeatability by vol regime</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Synthesis — this document</w:t>
            </w:r>
          </w:p>
        </w:tc>
        <w:tc>
          <w:tcPr>
            <w:tcW w:type="dxa" w:w="4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Repeatability — correct phase bounds</w:t>
            </w:r>
          </w:p>
        </w:tc>
        <w:tc>
          <w:tcPr>
            <w:tcW w:type="dxa" w:w="4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9C6400"/>
                <w:sz w:val="18"/>
                <w:szCs w:val="18"/>
              </w:rPr>
              <w:t xml:space="preserve">DEFERRED — awaiting full option coverage</w:t>
            </w:r>
          </w:p>
        </w:tc>
      </w:tr>
    </w:tbl>
    <w:p>
      <w:pPr>
        <w:spacing w:after="60" w:before="60"/>
      </w:pPr>
      <w:r>
        <w:rPr>
          <w:rFonts w:ascii="Arial" w:cs="Arial" w:eastAsia="Arial" w:hAnsi="Arial"/>
          <w:sz w:val="20"/>
          <w:szCs w:val="20"/>
        </w:rPr>
        <w:t xml:space="preserve"> </w:t>
      </w:r>
    </w:p>
    <w:p>
      <w:pPr>
        <w:spacing w:after="0" w:before="160"/>
        <w:jc w:val="center"/>
      </w:pPr>
      <w:r>
        <w:rPr>
          <w:rFonts w:ascii="Arial" w:cs="Arial" w:eastAsia="Arial" w:hAnsi="Arial"/>
          <w:b/>
          <w:bCs/>
          <w:color w:val="1F3864"/>
          <w:sz w:val="22"/>
          <w:szCs w:val="22"/>
        </w:rPr>
        <w:t xml:space="preserve">All primary research complete. Signal Rule Book v1.0 is ready for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6"/>
        <w:szCs w:val="16"/>
      </w:rPr>
      <w:t xml:space="preserve">MERDIAN Research   |   Generated 2026-04-11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b/>
        <w:bCs/>
        <w:color w:val="1F3864"/>
        <w:sz w:val="20"/>
        <w:szCs w:val="20"/>
      </w:rPr>
      <w:t xml:space="preserve">MERDIAN — Signal Rule Book v1.0</w:t>
    </w:r>
    <w:r>
      <w:rPr>
        <w:rFonts w:ascii="Arial" w:cs="Arial" w:eastAsia="Arial" w:hAnsi="Arial"/>
        <w:i/>
        <w:iCs/>
        <w:color w:val="595959"/>
        <w:sz w:val="18"/>
        <w:szCs w:val="18"/>
      </w:rPr>
      <w:t xml:space="preserve">   |   CONFIDENTIAL — Internal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2026-04-11T02:14:01.286Z</dcterms:created>
  <dcterms:modified xsi:type="dcterms:W3CDTF">2026-04-11T02:14:01.287Z</dcterms:modified>
</cp:coreProperties>
</file>

<file path=docProps/custom.xml><?xml version="1.0" encoding="utf-8"?>
<Properties xmlns="http://schemas.openxmlformats.org/officeDocument/2006/custom-properties" xmlns:vt="http://schemas.openxmlformats.org/officeDocument/2006/docPropsVTypes"/>
</file>