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2A3A"/>
          <w:sz w:val="40"/>
          <w:szCs w:val="40"/>
        </w:rPr>
        <w:t xml:space="preserve">PlaceUp Career</w:t>
      </w:r>
    </w:p>
    <w:p>
      <w:pPr>
        <w:spacing w:after="60"/>
      </w:pPr>
      <w:r>
        <w:rPr>
          <w:b/>
          <w:bCs/>
          <w:color w:val="C75A12"/>
          <w:sz w:val="28"/>
          <w:szCs w:val="28"/>
        </w:rPr>
        <w:t xml:space="preserve">Pre-Launch Legal &amp; Compliance Checklist</w:t>
      </w:r>
    </w:p>
    <w:p>
      <w:pPr>
        <w:spacing w:after="200"/>
      </w:pPr>
      <w:r>
        <w:rPr>
          <w:i/>
          <w:iCs/>
          <w:color w:val="555555"/>
          <w:sz w:val="19"/>
          <w:szCs w:val="19"/>
        </w:rPr>
        <w:t xml:space="preserve">Risk map and accuracy-preserving mitigations for a visa-focused job platform — prepared to brief qualified counsel.</w:t>
      </w:r>
    </w:p>
    <w:p>
      <w:pPr>
        <w:pBdr>
          <w:top w:val="single" w:color="CCCCCC" w:sz="1"/>
          <w:bottom w:val="single" w:color="CCCCCC" w:sz="1"/>
        </w:pBdr>
        <w:shd w:fill="FBEFE3" w:val="clear"/>
        <w:spacing w:after="240" w:before="40"/>
      </w:pPr>
      <w:r>
        <w:rPr>
          <w:b/>
          <w:bCs/>
          <w:color w:val="C75A12"/>
        </w:rPr>
        <w:t xml:space="preserve">Disclaimer: </w:t>
      </w:r>
      <w:r>
        <w:rPr>
          <w:color w:val="1A2A3A"/>
        </w:rPr>
        <w:t xml:space="preserve">This was prepared by a non-lawyer as a practical risk map to help you brief counsel. It is not legal advice and creates no attorney-client relationship. Laws change and vary by jurisdiction; confirm everything with an attorney experienced in data privacy, intellectual property, and employment/immigration law before launch.</w:t>
      </w:r>
    </w:p>
    <w:p>
      <w:pPr>
        <w:pStyle w:val="Heading1"/>
      </w:pPr>
      <w:r>
        <w:t xml:space="preserve">1. How to use this document</w:t>
      </w:r>
    </w:p>
    <w:p>
      <w:pPr>
        <w:spacing w:after="120"/>
      </w:pPr>
      <w:r>
        <w:t xml:space="preserve">Each risk below carries a priority. Tackle P0 items before any public launch; P1 soon after or in parallel; P2 as you scale. The “Already built” column reflects what exists in your current codebase, so you can see how far along each area is.</w:t>
      </w:r>
    </w:p>
    <w:p>
      <w:pPr>
        <w:spacing w:after="90"/>
      </w:pPr>
      <w:r>
        <w:rPr>
          <w:b/>
          <w:bCs/>
          <w:color w:val="1A2A3A"/>
        </w:rPr>
        <w:t xml:space="preserve">P0 — Launch blocker. </w:t>
      </w:r>
      <w:r>
        <w:t xml:space="preserve">Real chance of a complaint, takedown, or regulator/plaintiff interest on day one.</w:t>
      </w:r>
    </w:p>
    <w:p>
      <w:pPr>
        <w:spacing w:after="90"/>
      </w:pPr>
      <w:r>
        <w:rPr>
          <w:b/>
          <w:bCs/>
          <w:color w:val="1A2A3A"/>
        </w:rPr>
        <w:t xml:space="preserve">P1 — Near-term. </w:t>
      </w:r>
      <w:r>
        <w:t xml:space="preserve">Expected of any serious platform; fix during launch window.</w:t>
      </w:r>
    </w:p>
    <w:p>
      <w:pPr>
        <w:spacing w:after="90"/>
      </w:pPr>
      <w:r>
        <w:rPr>
          <w:b/>
          <w:bCs/>
          <w:color w:val="1A2A3A"/>
        </w:rPr>
        <w:t xml:space="preserve">P2 — Monitor. </w:t>
      </w:r>
      <w:r>
        <w:t xml:space="preserve">Lower likelihood today; revisit as you grow or change business model.</w:t>
      </w:r>
    </w:p>
    <w:p>
      <w:pPr>
        <w:pStyle w:val="Heading1"/>
      </w:pPr>
      <w:r>
        <w:t xml:space="preserve">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50"/>
        <w:gridCol w:w="3410"/>
        <w:gridCol w:w="1900"/>
      </w:tblGrid>
      <w:tr>
        <w:trPr>
          <w:tblHeader/>
        </w:trPr>
        <w:tc>
          <w:tcPr>
            <w:tcW w:type="dxa" w:w="2700"/>
            <w:tcBorders>
              <w:top w:val="single" w:color="CCCCCC" w:sz="1"/>
              <w:left w:val="single" w:color="CCCCCC" w:sz="1"/>
              <w:bottom w:val="single" w:color="CCCCCC" w:sz="1"/>
              <w:right w:val="single" w:color="CCCCCC" w:sz="1"/>
            </w:tcBorders>
            <w:shd w:fill="C75A12" w:val="clear"/>
            <w:tcMar>
              <w:top w:type="dxa" w:w="70"/>
              <w:left w:type="dxa" w:w="110"/>
              <w:bottom w:type="dxa" w:w="70"/>
              <w:right w:type="dxa" w:w="110"/>
            </w:tcMar>
          </w:tcPr>
          <w:p>
            <w:r>
              <w:rPr>
                <w:b/>
                <w:bCs/>
                <w:color w:val="FFFFFF"/>
                <w:sz w:val="19"/>
                <w:szCs w:val="19"/>
              </w:rPr>
              <w:t xml:space="preserve">Risk area</w:t>
            </w:r>
          </w:p>
        </w:tc>
        <w:tc>
          <w:tcPr>
            <w:tcW w:type="dxa" w:w="1350"/>
            <w:tcBorders>
              <w:top w:val="single" w:color="CCCCCC" w:sz="1"/>
              <w:left w:val="single" w:color="CCCCCC" w:sz="1"/>
              <w:bottom w:val="single" w:color="CCCCCC" w:sz="1"/>
              <w:right w:val="single" w:color="CCCCCC" w:sz="1"/>
            </w:tcBorders>
            <w:shd w:fill="C75A12" w:val="clear"/>
            <w:tcMar>
              <w:top w:type="dxa" w:w="70"/>
              <w:left w:type="dxa" w:w="110"/>
              <w:bottom w:type="dxa" w:w="70"/>
              <w:right w:type="dxa" w:w="110"/>
            </w:tcMar>
          </w:tcPr>
          <w:p>
            <w:r>
              <w:rPr>
                <w:b/>
                <w:bCs/>
                <w:color w:val="FFFFFF"/>
                <w:sz w:val="19"/>
                <w:szCs w:val="19"/>
              </w:rPr>
              <w:t xml:space="preserve">Exposure</w:t>
            </w:r>
          </w:p>
        </w:tc>
        <w:tc>
          <w:tcPr>
            <w:tcW w:type="dxa" w:w="3410"/>
            <w:tcBorders>
              <w:top w:val="single" w:color="CCCCCC" w:sz="1"/>
              <w:left w:val="single" w:color="CCCCCC" w:sz="1"/>
              <w:bottom w:val="single" w:color="CCCCCC" w:sz="1"/>
              <w:right w:val="single" w:color="CCCCCC" w:sz="1"/>
            </w:tcBorders>
            <w:shd w:fill="C75A12" w:val="clear"/>
            <w:tcMar>
              <w:top w:type="dxa" w:w="70"/>
              <w:left w:type="dxa" w:w="110"/>
              <w:bottom w:type="dxa" w:w="70"/>
              <w:right w:type="dxa" w:w="110"/>
            </w:tcMar>
          </w:tcPr>
          <w:p>
            <w:r>
              <w:rPr>
                <w:b/>
                <w:bCs/>
                <w:color w:val="FFFFFF"/>
                <w:sz w:val="19"/>
                <w:szCs w:val="19"/>
              </w:rPr>
              <w:t xml:space="preserve">Already built in your app</w:t>
            </w:r>
          </w:p>
        </w:tc>
        <w:tc>
          <w:tcPr>
            <w:tcW w:type="dxa" w:w="1900"/>
            <w:tcBorders>
              <w:top w:val="single" w:color="CCCCCC" w:sz="1"/>
              <w:left w:val="single" w:color="CCCCCC" w:sz="1"/>
              <w:bottom w:val="single" w:color="CCCCCC" w:sz="1"/>
              <w:right w:val="single" w:color="CCCCCC" w:sz="1"/>
            </w:tcBorders>
            <w:shd w:fill="C75A12" w:val="clear"/>
            <w:tcMar>
              <w:top w:type="dxa" w:w="70"/>
              <w:left w:type="dxa" w:w="110"/>
              <w:bottom w:type="dxa" w:w="70"/>
              <w:right w:type="dxa" w:w="110"/>
            </w:tcMar>
          </w:tcPr>
          <w:p>
            <w:r>
              <w:rPr>
                <w:b/>
                <w:bCs/>
                <w:color w:val="FFFFFF"/>
                <w:sz w:val="19"/>
                <w:szCs w:val="19"/>
              </w:rPr>
              <w:t xml:space="preserve">Primary mitigation</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Web scraping &amp; republishing full job-description text (LinkedIn, Indeed, Glassdoor, ZipRecruiter, Google)</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High (P0)</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Direct/official ATS + public feeds built (Greenhouse, Lever, Ashby, SmartRecruiters, Adzuna, RemoteOK, Remotive, Jobicy); stale-job sweeper</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Shift to licensed feeds; store links + short excerpts, not full copied text</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Resume PII sent to a third-party LLM (OpenRouter / free models)</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High (P0)</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LLM layer is optional with deterministic fallback; runs only with a key</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Disclose + get consent; enable no-training/zero-retention; sign a DPA</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Data privacy — GDPR, UK GDPR, CCPA/CPRA, PIPEDA</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High (P0)</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Cookie-consent component; parsed text only (no PDF stored); per-user store</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Publish privacy policy; add data export + delete; set retention; transfer terms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Misrepresenting visa-sponsorship / approval signals to visa-dependent users</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High (P0)</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Clearance/citizenship exclusion; visa scoring; H-1B data; some source labels</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Label every signal a heuristic; show source + date; never imply a guarantee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Looking like immigration or legal advice</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Medium (P1)</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Informational framing in copy</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Add advice disclaimer; avoid 'you qualify' / 'get sponsored' language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Stale or fraudulent job listings shown to users</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Medium (P1)</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Stale-jobs sweeper; dedup; 'last seen' tracking</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Show 'last verified' + may-have-closed notice; report-inaccuracy control</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Email / anti-spam — CAN-SPAM, CASL, ePrivacy</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Medium (P1)</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Alerts + digest with per-user settings</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Unsubscribe in every email; consent for marketing; sender identity</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Payments &amp; auto-renewal disclosures (e.g. CA ARL)</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Medium (P1)</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Stripe checkout</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Clear pricing, renewal terms, easy cancel, pre-charge reminders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Website accessibility — ADA Title III (US), EAA (EU)</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Medium (P1)</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Custom themed UI</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Meet WCAG 2.1 AA; keyboard nav, contrast, alt text, labels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Security &amp; data-breach exposure (resume PII)</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High (P0)</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Secrets in Secret Manager; Cloud SQL; OIDC auth</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Rotate any shared credentials; encrypt; breach plan; least privilege</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Trademark — company names / logos in listings</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Low–Med (P2)</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Company names shown as factual text</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Factual/nominative use OK; avoid logos; honor takedowns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AI-hiring regulation — NYC LL144, EU AI Act</w:t>
            </w:r>
          </w:p>
        </w:tc>
        <w:tc>
          <w:tcPr>
            <w:tcW w:type="dxa" w:w="13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1A2A3A"/>
                <w:sz w:val="18"/>
                <w:szCs w:val="18"/>
              </w:rPr>
              <w:t xml:space="preserve">Low (P2)</w:t>
            </w:r>
          </w:p>
        </w:tc>
        <w:tc>
          <w:tcPr>
            <w:tcW w:type="dxa" w:w="34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Tool is candidate-facing, not an employer decision tool</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color w:val="1A2A3A"/>
                <w:sz w:val="18"/>
                <w:szCs w:val="18"/>
              </w:rPr>
              <w:t xml:space="preserve">Keep candidate-side; if you sell to employers, reassess as high-risk AI</w:t>
            </w:r>
          </w:p>
        </w:tc>
      </w:tr>
    </w:tbl>
    <w:p>
      <w:pPr>
        <w:pStyle w:val="Heading1"/>
      </w:pPr>
      <w:r>
        <w:t xml:space="preserve">3. The core strategy: stay safe by being MORE accurate, not less</w:t>
      </w:r>
    </w:p>
    <w:p>
      <w:pPr>
        <w:spacing w:after="120"/>
      </w:pPr>
      <w:r>
        <w:t xml:space="preserve">Most lawsuit risk on a platform like yours does not come from showing data — it comes from showing data with unearned confidence that later proves wrong, especially to a vulnerable, visa-dependent audience who relied on it. The cure is not to hide or water down your signals. It is provenance, calibration, and verifiability. Done well, these reduce legal exposure AND make the product more trustworthy and more accurate at the same time.</w:t>
      </w:r>
    </w:p>
    <w:p>
      <w:pPr>
        <w:pStyle w:val="Heading2"/>
      </w:pPr>
      <w:r>
        <w:t xml:space="preserve">Five habits that lower liability while raising accuracy</w:t>
      </w:r>
    </w:p>
    <w:p>
      <w:pPr>
        <w:spacing w:after="90"/>
      </w:pPr>
      <w:r>
        <w:rPr>
          <w:b/>
          <w:bCs/>
          <w:color w:val="1A2A3A"/>
        </w:rPr>
        <w:t xml:space="preserve">Show the source and the date on every data point. </w:t>
      </w:r>
      <w:r>
        <w:t xml:space="preserve">“Source: Greenhouse · seen 2 days ago” or “Salary from posting”. You already store source_name, source_url, first/last-seen and extra_metadata — surface them. Provenance is both a trust signal and a legal defense.</w:t>
      </w:r>
    </w:p>
    <w:p>
      <w:pPr>
        <w:spacing w:after="90"/>
      </w:pPr>
      <w:r>
        <w:rPr>
          <w:b/>
          <w:bCs/>
          <w:color w:val="1A2A3A"/>
        </w:rPr>
        <w:t xml:space="preserve">Use calibrated language, never guarantees. </w:t>
      </w:r>
      <w:r>
        <w:t xml:space="preserve">“Likely sponsors (heuristic)” not “Sponsors”; “Estimated 71% match” with a “how this is calculated” link; “May require U.S. citizenship” when clearance is detected. Confidence words are accurate AND defensible.</w:t>
      </w:r>
    </w:p>
    <w:p>
      <w:pPr>
        <w:spacing w:after="90"/>
      </w:pPr>
      <w:r>
        <w:rPr>
          <w:b/>
          <w:bCs/>
          <w:color w:val="1A2A3A"/>
        </w:rPr>
        <w:t xml:space="preserve">Make every signal verifiable. </w:t>
      </w:r>
      <w:r>
        <w:t xml:space="preserve">Link out to the authoritative employer/ATS posting (“Apply on company site”) instead of presenting copied text as your own, and tell users to confirm sponsorship with the employer. Verifiability defeats “misrepresentation”.</w:t>
      </w:r>
    </w:p>
    <w:p>
      <w:pPr>
        <w:spacing w:after="90"/>
      </w:pPr>
      <w:r>
        <w:rPr>
          <w:b/>
          <w:bCs/>
          <w:color w:val="1A2A3A"/>
        </w:rPr>
        <w:t xml:space="preserve">Expire and label stale data. </w:t>
      </w:r>
      <w:r>
        <w:t xml:space="preserve">Use your stale-jobs sweeper to mark closed roles, and show “Last verified … — this posting may have closed.” Wrong-because-stale is a common and avoidable complaint.</w:t>
      </w:r>
    </w:p>
    <w:p>
      <w:pPr>
        <w:spacing w:after="90"/>
      </w:pPr>
      <w:r>
        <w:rPr>
          <w:b/>
          <w:bCs/>
          <w:color w:val="1A2A3A"/>
        </w:rPr>
        <w:t xml:space="preserve">Let users correct you. </w:t>
      </w:r>
      <w:r>
        <w:t xml:space="preserve">A “Report inaccuracy” control on each posting and each signal shows good faith, creates a fast fix loop, and is strong evidence you act reasonably — which is exactly what negligence/consumer-protection standards ask.</w:t>
      </w:r>
    </w:p>
    <w:p>
      <w:pPr>
        <w:pStyle w:val="Heading2"/>
      </w:pPr>
      <w:r>
        <w:t xml:space="preserve">Publish a methodology page</w:t>
      </w:r>
    </w:p>
    <w:p>
      <w:pPr>
        <w:spacing w:after="120"/>
      </w:pPr>
      <w:r>
        <w:t xml:space="preserve">One public page that plainly explains how match score, ATS score, and visa/approval signals are computed (and that they are estimates, not advice) converts your scoring from a “black-box claim” into a transparent, defensible method. It also doubles as a trust and SEO asset.</w:t>
      </w:r>
    </w:p>
    <w:p>
      <w:pPr>
        <w:pStyle w:val="Heading1"/>
      </w:pPr>
      <w:r>
        <w:t xml:space="preserve">4. Deeper notes on the highest-exposure areas</w:t>
      </w:r>
    </w:p>
    <w:p>
      <w:pPr>
        <w:pStyle w:val="Heading2"/>
      </w:pPr>
      <w:r>
        <w:t xml:space="preserve">Scraping &amp; republishing</w:t>
      </w:r>
    </w:p>
    <w:p>
      <w:pPr>
        <w:spacing w:after="120"/>
      </w:pPr>
      <w:r>
        <w:t xml:space="preserve">Breach-of-contract (site Terms), CFAA-style and trespass theories, and copyright on the description text are the live risks; LinkedIn in particular enforces aggressively. Lower it by preferring licensed/official feeds (which you already support), storing canonical links plus short excerpts rather than full copied descriptions, honoring robots/ToS where feasible, and registering a DMCA agent with a fast takedown path.</w:t>
      </w:r>
    </w:p>
    <w:p>
      <w:pPr>
        <w:pStyle w:val="Heading2"/>
      </w:pPr>
      <w:r>
        <w:t xml:space="preserve">Resume PII to third-party AI</w:t>
      </w:r>
    </w:p>
    <w:p>
      <w:pPr>
        <w:spacing w:after="120"/>
      </w:pPr>
      <w:r>
        <w:t xml:space="preserve">Sending a named resume to an external model — especially free tiers that may train on inputs — needs explicit disclosure and consent, a no-training/zero-retention setting with the provider, and a data-processing agreement. Your design already makes the LLM optional with a deterministic fallback, so you can launch with it off and turn it on only after the privacy plumbing and consent are in place.</w:t>
      </w:r>
    </w:p>
    <w:p>
      <w:pPr>
        <w:pStyle w:val="Heading2"/>
      </w:pPr>
      <w:r>
        <w:t xml:space="preserve">Visa &amp; approval signals</w:t>
      </w:r>
    </w:p>
    <w:p>
      <w:pPr>
        <w:spacing w:after="120"/>
      </w:pPr>
      <w:r>
        <w:t xml:space="preserve">This is where accuracy and law are the same problem. Keep improving detection (you already exclude clearance/citizenship-required roles from visa-friendly feeds), but always frame sponsorship as a heuristic to verify, show the basis, and never promise an outcome. Avoid anything that reads as immigration advice.</w:t>
      </w:r>
    </w:p>
    <w:p>
      <w:pPr>
        <w:pStyle w:val="Heading2"/>
      </w:pPr>
      <w:r>
        <w:t xml:space="preserve">Privacy &amp; security</w:t>
      </w:r>
    </w:p>
    <w:p>
      <w:pPr>
        <w:spacing w:after="120"/>
      </w:pPr>
      <w:r>
        <w:t xml:space="preserve">Treat resumes as sensitive personal data: lawful basis/consent, data-subject access and deletion, defined retention, breach-notification readiness (72 hours under GDPR), encryption, least-privilege access, and rotation of any credential that has been shared anywhere. Sign DPAs with your subprocessors (GCP, Stripe, email provider, and the LLM provider if enabled).</w:t>
      </w:r>
    </w:p>
    <w:p>
      <w:pPr>
        <w:pStyle w:val="Heading1"/>
      </w:pPr>
      <w:r>
        <w:t xml:space="preserve">5. Documents to publish before launch</w:t>
      </w:r>
    </w:p>
    <w:p>
      <w:pPr>
        <w:pStyle w:val="ListParagraph"/>
        <w:numPr>
          <w:ilvl w:val="0"/>
          <w:numId w:val="2"/>
        </w:numPr>
        <w:spacing w:after="60"/>
      </w:pPr>
      <w:r>
        <w:t xml:space="preserve">Privacy Policy — what you collect, lawful basis, retention, international transfers, subprocessors, and a clear AI/third-party-processing disclosure.</w:t>
      </w:r>
    </w:p>
    <w:p>
      <w:pPr>
        <w:pStyle w:val="ListParagraph"/>
        <w:numPr>
          <w:ilvl w:val="0"/>
          <w:numId w:val="2"/>
        </w:numPr>
        <w:spacing w:after="60"/>
      </w:pPr>
      <w:r>
        <w:t xml:space="preserve">Terms of Service — acceptable use, an explicit accuracy disclaimer (“informational, not advice; verify with the employer”), limitation of liability, indemnity, governing law, and an arbitration / class-action-waiver clause.</w:t>
      </w:r>
    </w:p>
    <w:p>
      <w:pPr>
        <w:pStyle w:val="ListParagraph"/>
        <w:numPr>
          <w:ilvl w:val="0"/>
          <w:numId w:val="2"/>
        </w:numPr>
        <w:spacing w:after="60"/>
      </w:pPr>
      <w:r>
        <w:t xml:space="preserve">Cookie Policy + consent banner (component already built) wired to actually gate non-essential tracking.</w:t>
      </w:r>
    </w:p>
    <w:p>
      <w:pPr>
        <w:pStyle w:val="ListParagraph"/>
        <w:numPr>
          <w:ilvl w:val="0"/>
          <w:numId w:val="2"/>
        </w:numPr>
        <w:spacing w:after="60"/>
      </w:pPr>
      <w:r>
        <w:t xml:space="preserve">AI / Automated-Processing notice and opt-in consent for resume analysis and tailoring.</w:t>
      </w:r>
    </w:p>
    <w:p>
      <w:pPr>
        <w:pStyle w:val="ListParagraph"/>
        <w:numPr>
          <w:ilvl w:val="0"/>
          <w:numId w:val="2"/>
        </w:numPr>
        <w:spacing w:after="60"/>
      </w:pPr>
      <w:r>
        <w:t xml:space="preserve">DMCA / takedown policy with a registered agent, for any republished content.</w:t>
      </w:r>
    </w:p>
    <w:p>
      <w:pPr>
        <w:pStyle w:val="ListParagraph"/>
        <w:numPr>
          <w:ilvl w:val="0"/>
          <w:numId w:val="2"/>
        </w:numPr>
        <w:spacing w:after="60"/>
      </w:pPr>
      <w:r>
        <w:t xml:space="preserve">Billing, refund, and auto-renewal terms for paid plans.</w:t>
      </w:r>
    </w:p>
    <w:p>
      <w:pPr>
        <w:pStyle w:val="ListParagraph"/>
        <w:numPr>
          <w:ilvl w:val="0"/>
          <w:numId w:val="2"/>
        </w:numPr>
        <w:spacing w:after="60"/>
      </w:pPr>
      <w:r>
        <w:t xml:space="preserve">Data-Processing Agreements with each subprocessor (GCP, Stripe, email, OpenRouter if enabled).</w:t>
      </w:r>
    </w:p>
    <w:p>
      <w:pPr>
        <w:pStyle w:val="Heading1"/>
      </w:pPr>
      <w:r>
        <w:t xml:space="preserve">6. Pre-launch priority punch list</w:t>
      </w:r>
    </w:p>
    <w:p>
      <w:pPr>
        <w:pStyle w:val="ListParagraph"/>
        <w:numPr>
          <w:ilvl w:val="0"/>
          <w:numId w:val="3"/>
        </w:numPr>
        <w:spacing w:after="60"/>
      </w:pPr>
      <w:r>
        <w:t xml:space="preserve">Publish Privacy Policy, Terms of Service, and the AI-processing disclosure; wire the cookie banner to gate tracking. (P0)</w:t>
      </w:r>
    </w:p>
    <w:p>
      <w:pPr>
        <w:pStyle w:val="ListParagraph"/>
        <w:numPr>
          <w:ilvl w:val="0"/>
          <w:numId w:val="3"/>
        </w:numPr>
        <w:spacing w:after="60"/>
      </w:pPr>
      <w:r>
        <w:t xml:space="preserve">For the AI brain: enable a no-training/zero-retention setting, add consent, sign a DPA — or launch with it off. (P0)</w:t>
      </w:r>
    </w:p>
    <w:p>
      <w:pPr>
        <w:pStyle w:val="ListParagraph"/>
        <w:numPr>
          <w:ilvl w:val="0"/>
          <w:numId w:val="3"/>
        </w:numPr>
        <w:spacing w:after="60"/>
      </w:pPr>
      <w:r>
        <w:t xml:space="preserve">Rotate every credential shared during development; confirm encryption, least-privilege, and a breach plan. (P0)</w:t>
      </w:r>
    </w:p>
    <w:p>
      <w:pPr>
        <w:pStyle w:val="ListParagraph"/>
        <w:numPr>
          <w:ilvl w:val="0"/>
          <w:numId w:val="3"/>
        </w:numPr>
        <w:spacing w:after="60"/>
      </w:pPr>
      <w:r>
        <w:t xml:space="preserve">Add source + date + a heuristic/verify label to all visa, salary, and match signals; ship a methodology page. (P0)</w:t>
      </w:r>
    </w:p>
    <w:p>
      <w:pPr>
        <w:pStyle w:val="ListParagraph"/>
        <w:numPr>
          <w:ilvl w:val="0"/>
          <w:numId w:val="3"/>
        </w:numPr>
        <w:spacing w:after="60"/>
      </w:pPr>
      <w:r>
        <w:t xml:space="preserve">Prefer licensed/official feeds; store links + short excerpts, not full copied descriptions; register a DMCA agent. (P0)</w:t>
      </w:r>
    </w:p>
    <w:p>
      <w:pPr>
        <w:pStyle w:val="ListParagraph"/>
        <w:numPr>
          <w:ilvl w:val="0"/>
          <w:numId w:val="3"/>
        </w:numPr>
        <w:spacing w:after="60"/>
      </w:pPr>
      <w:r>
        <w:t xml:space="preserve">Build data export + delete (DSAR) and set a retention policy for resumes and accounts. (P0/P1)</w:t>
      </w:r>
    </w:p>
    <w:p>
      <w:pPr>
        <w:pStyle w:val="ListParagraph"/>
        <w:numPr>
          <w:ilvl w:val="0"/>
          <w:numId w:val="3"/>
        </w:numPr>
        <w:spacing w:after="60"/>
      </w:pPr>
      <w:r>
        <w:t xml:space="preserve">Add unsubscribe + consent to all emails; clear billing/auto-renewal terms; a “Report inaccuracy” control. (P1)</w:t>
      </w:r>
    </w:p>
    <w:p>
      <w:pPr>
        <w:pStyle w:val="ListParagraph"/>
        <w:numPr>
          <w:ilvl w:val="0"/>
          <w:numId w:val="3"/>
        </w:numPr>
        <w:spacing w:after="60"/>
      </w:pPr>
      <w:r>
        <w:t xml:space="preserve">Run a WCAG 2.1 AA accessibility pass. (P1)</w:t>
      </w:r>
    </w:p>
    <w:p>
      <w:pPr>
        <w:pStyle w:val="ListParagraph"/>
        <w:numPr>
          <w:ilvl w:val="0"/>
          <w:numId w:val="3"/>
        </w:numPr>
        <w:spacing w:after="60"/>
      </w:pPr>
      <w:r>
        <w:t xml:space="preserve">Have counsel review the above and your specific source-site Terms before go-live. (P0)</w:t>
      </w:r>
    </w:p>
    <w:p>
      <w:pPr>
        <w:pBdr>
          <w:top w:val="single" w:color="CCCCCC" w:sz="1"/>
        </w:pBdr>
        <w:spacing w:before="220"/>
      </w:pPr>
      <w:r>
        <w:rPr>
          <w:i/>
          <w:iCs/>
          <w:color w:val="555555"/>
          <w:sz w:val="18"/>
          <w:szCs w:val="18"/>
        </w:rPr>
        <w:t xml:space="preserve">Reminder: this is a planning aid, not legal advice. An attorney should review your final policies, your scraping sources, and your AI data flows before you launch.</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PlaceUp Career — Pre-Launch Legal &amp; Compliance Checklist  ·  Not legal advice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5A12" w:sz="6" w:space="4"/>
      </w:pBdr>
      <w:spacing w:after="140" w:before="300"/>
      <w:outlineLvl w:val="0"/>
    </w:pPr>
    <w:rPr>
      <w:rFonts w:ascii="Arial" w:cs="Arial" w:eastAsia="Arial" w:hAnsi="Arial"/>
      <w:b/>
      <w:bCs/>
      <w:color w:val="1A2A3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75A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2026-06-20T23:48:06.101Z</dcterms:created>
  <dcterms:modified xsi:type="dcterms:W3CDTF">2026-06-20T23:48:06.101Z</dcterms:modified>
</cp:coreProperties>
</file>

<file path=docProps/custom.xml><?xml version="1.0" encoding="utf-8"?>
<Properties xmlns="http://schemas.openxmlformats.org/officeDocument/2006/custom-properties" xmlns:vt="http://schemas.openxmlformats.org/officeDocument/2006/docPropsVTypes"/>
</file>