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t xml:space="preserve">Lab 3: Architectural Pattern Selection — Written Justification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Problem Statement #48 — Incident Escalation &amp; On-Call Rotation Engine</w:t>
      </w:r>
    </w:p>
    <w:p>
      <w:pPr>
        <w:pBdr>
          <w:bottom w:val="single" w:color="999999" w:sz="6" w:space="4"/>
        </w:pBdr>
        <w:spacing w:after="260"/>
        <w:jc w:val="center"/>
      </w:pPr>
      <w:r>
        <w:rPr>
          <w:color w:val="555555"/>
          <w:sz w:val="20"/>
          <w:szCs w:val="20"/>
        </w:rPr>
        <w:t xml:space="preserve">Balu | BTech CSE (AI/ML), PES University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Architecture Selection</w:t>
      </w:r>
    </w:p>
    <w:p>
      <w:pPr>
        <w:spacing w:after="200"/>
      </w:pPr>
      <w:r>
        <w:rPr>
          <w:sz w:val="22"/>
          <w:szCs w:val="22"/>
        </w:rPr>
        <w:t xml:space="preserve">We chose Microservices Architecture for the Incident Escalation &amp; On-Call Rotation Engine system.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Reason 1 — Independent, Elastic Scaling</w:t>
      </w:r>
    </w:p>
    <w:p>
      <w:pPr>
        <w:spacing w:after="160"/>
      </w:pPr>
      <w:r>
        <w:rPr>
          <w:sz w:val="22"/>
          <w:szCs w:val="22"/>
        </w:rPr>
        <w:t xml:space="preserve">Alert Ingestion and Notification Dispatch face bursty, unpredictable load during incident storms (many correlated alerts firing at once), while On-Call Rotation and Post-Mortem services see steady, low-volume traffic. Microservices let each of the five components (Alert Ingestion, Escalation Engine, On-Call Rotation, Notification Dispatch, Incident &amp; Post-Mortem) be deployed and scaled independently, so compute is spent where the spike actually is instead of over-provisioning a single monolith end to end.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Reason 2 — Fault Isolation for a Reliability-Critical System</w:t>
      </w:r>
    </w:p>
    <w:p>
      <w:pPr>
        <w:spacing w:after="160"/>
      </w:pPr>
      <w:r>
        <w:rPr>
          <w:sz w:val="22"/>
          <w:szCs w:val="22"/>
        </w:rPr>
        <w:t xml:space="preserve">An on-call system must keep working even when a dependency fails. If the Notification Dispatch Service's SMS/email provider degrades, the Escalation Engine, Alert Ingestion, and Rotation Schedule services keep running independently — incidents are still ingested, tracked, and queued for delivery — rather than a single process crash taking the entire escalation pipeline down. This directly protects FR-001 (escalation must trigger on timeout) even under partial provider outages.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Security Advantage</w:t>
      </w:r>
    </w:p>
    <w:p>
      <w:pPr>
        <w:spacing w:after="160"/>
      </w:pPr>
      <w:r>
        <w:rPr>
          <w:sz w:val="22"/>
          <w:szCs w:val="22"/>
        </w:rPr>
        <w:t xml:space="preserve">Each microservice holds only the credentials it needs — for example, only Notification Dispatch stores SMS/email/webhook provider API keys, while Escalation Engine and On-Call Rotation never see them. Inter-service calls go through per-service authenticated interfaces (RotationQuery, NotificationDispatch, IncidentUpdate), so a compromise of one service has a bounded blast radius instead of exposing every credential in a single monolithic codebase.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Performance Benefit</w:t>
      </w:r>
    </w:p>
    <w:p>
      <w:pPr>
        <w:spacing w:after="160"/>
      </w:pPr>
      <w:r>
        <w:rPr>
          <w:sz w:val="22"/>
          <w:szCs w:val="22"/>
        </w:rPr>
        <w:t xml:space="preserve">NFR-001 requires alert dispatch within 3 seconds of ingestion. Because Notification Dispatch is its own deployable service, it can be horizontally replicated and placed close to the SMS/email/webhook providers, and calls to it from the Escalation Engine can be queued asynchronously — so notification latency never blocks alert ingestion or rotation lookups, and the 3-second SLA can be met independently of load on the rest of the system.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2026-09-17T11:53:18.971Z</dcterms:created>
  <dcterms:modified xsi:type="dcterms:W3CDTF">2026-09-17T11:53:18.978Z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