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Overarching Training Curriculum &amp; Onboarding Framework – New Joiners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Effective Date: </w:t>
      </w:r>
      <w:r>
        <w:t>01-Jan-2026</w:t>
        <w:br/>
      </w:r>
      <w:r>
        <w:rPr>
          <w:b/>
        </w:rPr>
        <w:t xml:space="preserve">Audience: </w:t>
      </w:r>
      <w:r>
        <w:t>All Employees</w:t>
        <w:br/>
      </w:r>
    </w:p>
    <w:p>
      <w:pPr>
        <w:pStyle w:val="Heading1"/>
      </w:pPr>
      <w:r>
        <w:t>Purpose</w:t>
      </w:r>
    </w:p>
    <w:p>
      <w:r>
        <w:t>This document establishes the standardized onboarding training curriculum and governance framework applicable to new joiners across Business Analyst, Technical Analyst, Assistant Manager, Manager and Program Lead roles.</w:t>
      </w:r>
    </w:p>
    <w:p>
      <w:pPr>
        <w:pStyle w:val="Heading1"/>
      </w:pPr>
      <w:r>
        <w:t>Scope</w:t>
      </w:r>
    </w:p>
    <w:p>
      <w:r>
        <w:t>Applies to all full-time employees joining delivery, support and program governance functions within the organization.</w:t>
      </w:r>
    </w:p>
    <w:p>
      <w:pPr>
        <w:pStyle w:val="Heading1"/>
      </w:pPr>
      <w:r>
        <w:t>Training Framework</w:t>
      </w:r>
    </w:p>
    <w:p>
      <w:r>
        <w:t>The onboarding curriculum is structured across four progressive phases to ensure foundational alignment and role readiness.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Timeline from DOJ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Corporate Induction &amp; Compliance</w:t>
            </w:r>
          </w:p>
        </w:tc>
        <w:tc>
          <w:tcPr>
            <w:tcW w:type="dxa" w:w="2880"/>
          </w:tcPr>
          <w:p>
            <w:r>
              <w:t>Day 1–7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Functional Readiness</w:t>
            </w:r>
          </w:p>
        </w:tc>
        <w:tc>
          <w:tcPr>
            <w:tcW w:type="dxa" w:w="2880"/>
          </w:tcPr>
          <w:p>
            <w:r>
              <w:t>Day 8–30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Role-Specific Capability</w:t>
            </w:r>
          </w:p>
        </w:tc>
        <w:tc>
          <w:tcPr>
            <w:tcW w:type="dxa" w:w="2880"/>
          </w:tcPr>
          <w:p>
            <w:r>
              <w:t>Day 31–60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Project Deployment Readiness</w:t>
            </w:r>
          </w:p>
        </w:tc>
        <w:tc>
          <w:tcPr>
            <w:tcW w:type="dxa" w:w="2880"/>
          </w:tcPr>
          <w:p>
            <w:r>
              <w:t>Day 61–90</w:t>
            </w:r>
          </w:p>
        </w:tc>
      </w:tr>
    </w:tbl>
    <w:p>
      <w:pPr>
        <w:pStyle w:val="Heading1"/>
      </w:pPr>
      <w:r>
        <w:t>Curriculum Structure</w:t>
      </w:r>
    </w:p>
    <w:p>
      <w:r>
        <w:t>Phase 1 includes organization overview, information security and compliance modules.</w:t>
      </w:r>
    </w:p>
    <w:p>
      <w:r>
        <w:t>Phase 2 includes business function orientation and application familiarization.</w:t>
      </w:r>
    </w:p>
    <w:p>
      <w:r>
        <w:t>Phase 3 includes role-based capability development aligned to BA, TA, AM, Manager and Program Lead tracks.</w:t>
      </w:r>
    </w:p>
    <w:p>
      <w:r>
        <w:t>Phase 4 includes deployment simulations and stakeholder engagement scenarios.</w:t>
      </w:r>
    </w:p>
    <w:p>
      <w:pPr>
        <w:pStyle w:val="Heading1"/>
      </w:pPr>
      <w:r>
        <w:t>Governance Model</w:t>
      </w:r>
    </w:p>
    <w:p>
      <w:r>
        <w:t>Training governance shall be jointly owned by HR, Delivery Leadership and Learning &amp; Development teams.</w:t>
      </w:r>
    </w:p>
    <w:p>
      <w:r>
        <w:t>Completion tracking will be monitored through LMS dashboards.</w:t>
      </w:r>
    </w:p>
    <w:p>
      <w:r>
        <w:t>Monthly onboarding compliance reviews will be conducted at Delivery Unit level.</w:t>
      </w:r>
    </w:p>
    <w:p>
      <w:pPr>
        <w:pStyle w:val="Heading1"/>
      </w:pPr>
      <w:r>
        <w:t>Roles &amp; Responsibilities</w:t>
      </w:r>
    </w:p>
    <w:p>
      <w:r>
        <w:t>Employees: Completion of assigned learning within DOJ timelines.</w:t>
      </w:r>
    </w:p>
    <w:p>
      <w:r>
        <w:t>Managers: Role-aligned nominations and deployment readiness validation.</w:t>
      </w:r>
    </w:p>
    <w:p>
      <w:r>
        <w:t>L&amp;D: Curriculum maintenance and reporting.</w:t>
      </w:r>
    </w:p>
    <w:p>
      <w:r>
        <w:t>HRBP: Compliance oversight and escalation.</w:t>
      </w:r>
    </w:p>
    <w:p>
      <w:pPr>
        <w:pStyle w:val="Heading1"/>
      </w:pPr>
      <w:r>
        <w:t>Key Contacts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Contact Role</w:t>
            </w:r>
          </w:p>
        </w:tc>
        <w:tc>
          <w:tcPr>
            <w:tcW w:type="dxa" w:w="2880"/>
          </w:tcPr>
          <w:p>
            <w:r>
              <w:t>Email ID</w:t>
            </w:r>
          </w:p>
        </w:tc>
      </w:tr>
      <w:tr>
        <w:tc>
          <w:tcPr>
            <w:tcW w:type="dxa" w:w="2880"/>
          </w:tcPr>
          <w:p>
            <w:r>
              <w:t>HR Business Partner</w:t>
            </w:r>
          </w:p>
        </w:tc>
        <w:tc>
          <w:tcPr>
            <w:tcW w:type="dxa" w:w="2880"/>
          </w:tcPr>
          <w:p>
            <w:r>
              <w:t>HRBP – Onboarding</w:t>
            </w:r>
          </w:p>
        </w:tc>
        <w:tc>
          <w:tcPr>
            <w:tcW w:type="dxa" w:w="2880"/>
          </w:tcPr>
          <w:p>
            <w:r>
              <w:t>hrbp@organization.com</w:t>
            </w:r>
          </w:p>
        </w:tc>
      </w:tr>
      <w:tr>
        <w:tc>
          <w:tcPr>
            <w:tcW w:type="dxa" w:w="2880"/>
          </w:tcPr>
          <w:p>
            <w:r>
              <w:t>Learning &amp; Development</w:t>
            </w:r>
          </w:p>
        </w:tc>
        <w:tc>
          <w:tcPr>
            <w:tcW w:type="dxa" w:w="2880"/>
          </w:tcPr>
          <w:p>
            <w:r>
              <w:t>LMS Administrator</w:t>
            </w:r>
          </w:p>
        </w:tc>
        <w:tc>
          <w:tcPr>
            <w:tcW w:type="dxa" w:w="2880"/>
          </w:tcPr>
          <w:p>
            <w:r>
              <w:t>lnd.support@organization.com</w:t>
            </w:r>
          </w:p>
        </w:tc>
      </w:tr>
      <w:tr>
        <w:tc>
          <w:tcPr>
            <w:tcW w:type="dxa" w:w="2880"/>
          </w:tcPr>
          <w:p>
            <w:r>
              <w:t>IT Support</w:t>
            </w:r>
          </w:p>
        </w:tc>
        <w:tc>
          <w:tcPr>
            <w:tcW w:type="dxa" w:w="2880"/>
          </w:tcPr>
          <w:p>
            <w:r>
              <w:t>Access Management</w:t>
            </w:r>
          </w:p>
        </w:tc>
        <w:tc>
          <w:tcPr>
            <w:tcW w:type="dxa" w:w="2880"/>
          </w:tcPr>
          <w:p>
            <w:r>
              <w:t>itservicedesk@organization.com</w:t>
            </w:r>
          </w:p>
        </w:tc>
      </w:tr>
      <w:tr>
        <w:tc>
          <w:tcPr>
            <w:tcW w:type="dxa" w:w="2880"/>
          </w:tcPr>
          <w:p>
            <w:r>
              <w:t>Delivery Excellence</w:t>
            </w:r>
          </w:p>
        </w:tc>
        <w:tc>
          <w:tcPr>
            <w:tcW w:type="dxa" w:w="2880"/>
          </w:tcPr>
          <w:p>
            <w:r>
              <w:t>Training Governance Lead</w:t>
            </w:r>
          </w:p>
        </w:tc>
        <w:tc>
          <w:tcPr>
            <w:tcW w:type="dxa" w:w="2880"/>
          </w:tcPr>
          <w:p>
            <w:r>
              <w:t>delivery.excellence@organization.com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InfoSec SPOC</w:t>
            </w:r>
          </w:p>
        </w:tc>
        <w:tc>
          <w:tcPr>
            <w:tcW w:type="dxa" w:w="2880"/>
          </w:tcPr>
          <w:p>
            <w:r>
              <w:t>infosec@organization.com</w:t>
            </w:r>
          </w:p>
        </w:tc>
      </w:tr>
    </w:tbl>
    <w:p>
      <w:pPr>
        <w:pStyle w:val="Heading1"/>
      </w:pPr>
      <w:r>
        <w:t>Review Cycle</w:t>
      </w:r>
    </w:p>
    <w:p>
      <w:r>
        <w:t>This framework shall be reviewed semi-annually by the L&amp;D Council to ensure alignment with delivery capability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