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Joiner Training Plan – Pharma Regulatory Affairs</w:t>
      </w:r>
    </w:p>
    <w:p>
      <w:r>
        <w:t>Document Version: 1.0</w:t>
        <w:br/>
      </w:r>
      <w:r>
        <w:t>Prepared By: Regulatory Training Team</w:t>
        <w:br/>
      </w:r>
      <w:r>
        <w:t>Effective Date: 01-Apr-2026</w:t>
        <w:br/>
      </w:r>
      <w:r>
        <w:t>Review Cycle: Annual</w:t>
        <w:br/>
      </w:r>
    </w:p>
    <w:p>
      <w:pPr>
        <w:pStyle w:val="Heading1"/>
      </w:pPr>
      <w:r>
        <w:t>1. Objective</w:t>
      </w:r>
    </w:p>
    <w:p>
      <w:r>
        <w:t>To provide a structured onboarding and foundational training program for new joiners in the Regulatory Affairs function to ensure awareness of global regulatory requirements, documentation standards, and compliance protocols.</w:t>
      </w:r>
    </w:p>
    <w:p>
      <w:pPr>
        <w:pStyle w:val="Heading1"/>
      </w:pPr>
      <w:r>
        <w:t>2. Scope</w:t>
      </w:r>
    </w:p>
    <w:p>
      <w:r>
        <w:t>This training plan applies to all new employees joining the Regulatory Affairs department involved in dossier preparation, submission lifecycle management, labeling compliance, and post-marketing regulatory activities.</w:t>
      </w:r>
    </w:p>
    <w:p>
      <w:pPr>
        <w:pStyle w:val="Heading1"/>
      </w:pPr>
      <w:r>
        <w:t>3. Training Curriculum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Module</w:t>
            </w:r>
          </w:p>
        </w:tc>
        <w:tc>
          <w:tcPr>
            <w:tcW w:type="dxa" w:w="2520"/>
          </w:tcPr>
          <w:p>
            <w:r>
              <w:t>Training Topic</w:t>
            </w:r>
          </w:p>
        </w:tc>
        <w:tc>
          <w:tcPr>
            <w:tcW w:type="dxa" w:w="2520"/>
          </w:tcPr>
          <w:p>
            <w:r>
              <w:t>Mode</w:t>
            </w:r>
          </w:p>
        </w:tc>
        <w:tc>
          <w:tcPr>
            <w:tcW w:type="dxa" w:w="2520"/>
          </w:tcPr>
          <w:p>
            <w:r>
              <w:t>Duration</w:t>
            </w:r>
          </w:p>
        </w:tc>
      </w:tr>
      <w:tr>
        <w:tc>
          <w:tcPr>
            <w:tcW w:type="dxa" w:w="2520"/>
          </w:tcPr>
          <w:p>
            <w:r>
              <w:t>M01</w:t>
            </w:r>
          </w:p>
        </w:tc>
        <w:tc>
          <w:tcPr>
            <w:tcW w:type="dxa" w:w="2520"/>
          </w:tcPr>
          <w:p>
            <w:r>
              <w:t>Introduction to Global Regulatory Landscape (USFDA, EMA, CDSCO)</w:t>
            </w:r>
          </w:p>
        </w:tc>
        <w:tc>
          <w:tcPr>
            <w:tcW w:type="dxa" w:w="2520"/>
          </w:tcPr>
          <w:p>
            <w:r>
              <w:t>Classroom</w:t>
            </w:r>
          </w:p>
        </w:tc>
        <w:tc>
          <w:tcPr>
            <w:tcW w:type="dxa" w:w="2520"/>
          </w:tcPr>
          <w:p>
            <w:r>
              <w:t>4 hrs</w:t>
            </w:r>
          </w:p>
        </w:tc>
      </w:tr>
      <w:tr>
        <w:tc>
          <w:tcPr>
            <w:tcW w:type="dxa" w:w="2520"/>
          </w:tcPr>
          <w:p>
            <w:r>
              <w:t>M02</w:t>
            </w:r>
          </w:p>
        </w:tc>
        <w:tc>
          <w:tcPr>
            <w:tcW w:type="dxa" w:w="2520"/>
          </w:tcPr>
          <w:p>
            <w:r>
              <w:t>CTD &amp; eCTD Structure and Submission Requirements</w:t>
            </w:r>
          </w:p>
        </w:tc>
        <w:tc>
          <w:tcPr>
            <w:tcW w:type="dxa" w:w="2520"/>
          </w:tcPr>
          <w:p>
            <w:r>
              <w:t>E-Learning</w:t>
            </w:r>
          </w:p>
        </w:tc>
        <w:tc>
          <w:tcPr>
            <w:tcW w:type="dxa" w:w="2520"/>
          </w:tcPr>
          <w:p>
            <w:r>
              <w:t>6 hrs</w:t>
            </w:r>
          </w:p>
        </w:tc>
      </w:tr>
      <w:tr>
        <w:tc>
          <w:tcPr>
            <w:tcW w:type="dxa" w:w="2520"/>
          </w:tcPr>
          <w:p>
            <w:r>
              <w:t>M03</w:t>
            </w:r>
          </w:p>
        </w:tc>
        <w:tc>
          <w:tcPr>
            <w:tcW w:type="dxa" w:w="2520"/>
          </w:tcPr>
          <w:p>
            <w:r>
              <w:t>Regulatory Documentation &amp; Technical Writing</w:t>
            </w:r>
          </w:p>
        </w:tc>
        <w:tc>
          <w:tcPr>
            <w:tcW w:type="dxa" w:w="2520"/>
          </w:tcPr>
          <w:p>
            <w:r>
              <w:t>Workshop</w:t>
            </w:r>
          </w:p>
        </w:tc>
        <w:tc>
          <w:tcPr>
            <w:tcW w:type="dxa" w:w="2520"/>
          </w:tcPr>
          <w:p>
            <w:r>
              <w:t>5 hrs</w:t>
            </w:r>
          </w:p>
        </w:tc>
      </w:tr>
      <w:tr>
        <w:tc>
          <w:tcPr>
            <w:tcW w:type="dxa" w:w="2520"/>
          </w:tcPr>
          <w:p>
            <w:r>
              <w:t>M04</w:t>
            </w:r>
          </w:p>
        </w:tc>
        <w:tc>
          <w:tcPr>
            <w:tcW w:type="dxa" w:w="2520"/>
          </w:tcPr>
          <w:p>
            <w:r>
              <w:t>Labeling Compliance &amp; Artwork Review</w:t>
            </w:r>
          </w:p>
        </w:tc>
        <w:tc>
          <w:tcPr>
            <w:tcW w:type="dxa" w:w="2520"/>
          </w:tcPr>
          <w:p>
            <w:r>
              <w:t>Classroom</w:t>
            </w:r>
          </w:p>
        </w:tc>
        <w:tc>
          <w:tcPr>
            <w:tcW w:type="dxa" w:w="2520"/>
          </w:tcPr>
          <w:p>
            <w:r>
              <w:t>3 hrs</w:t>
            </w:r>
          </w:p>
        </w:tc>
      </w:tr>
      <w:tr>
        <w:tc>
          <w:tcPr>
            <w:tcW w:type="dxa" w:w="2520"/>
          </w:tcPr>
          <w:p>
            <w:r>
              <w:t>M05</w:t>
            </w:r>
          </w:p>
        </w:tc>
        <w:tc>
          <w:tcPr>
            <w:tcW w:type="dxa" w:w="2520"/>
          </w:tcPr>
          <w:p>
            <w:r>
              <w:t>Variation Filing &amp; Lifecycle Management</w:t>
            </w:r>
          </w:p>
        </w:tc>
        <w:tc>
          <w:tcPr>
            <w:tcW w:type="dxa" w:w="2520"/>
          </w:tcPr>
          <w:p>
            <w:r>
              <w:t>E-Learning</w:t>
            </w:r>
          </w:p>
        </w:tc>
        <w:tc>
          <w:tcPr>
            <w:tcW w:type="dxa" w:w="2520"/>
          </w:tcPr>
          <w:p>
            <w:r>
              <w:t>4 hrs</w:t>
            </w:r>
          </w:p>
        </w:tc>
      </w:tr>
      <w:tr>
        <w:tc>
          <w:tcPr>
            <w:tcW w:type="dxa" w:w="2520"/>
          </w:tcPr>
          <w:p>
            <w:r>
              <w:t>M06</w:t>
            </w:r>
          </w:p>
        </w:tc>
        <w:tc>
          <w:tcPr>
            <w:tcW w:type="dxa" w:w="2520"/>
          </w:tcPr>
          <w:p>
            <w:r>
              <w:t>Pharmacovigilance Interface &amp; Safety Reporting</w:t>
            </w:r>
          </w:p>
        </w:tc>
        <w:tc>
          <w:tcPr>
            <w:tcW w:type="dxa" w:w="2520"/>
          </w:tcPr>
          <w:p>
            <w:r>
              <w:t>Seminar</w:t>
            </w:r>
          </w:p>
        </w:tc>
        <w:tc>
          <w:tcPr>
            <w:tcW w:type="dxa" w:w="2520"/>
          </w:tcPr>
          <w:p>
            <w:r>
              <w:t>3 hrs</w:t>
            </w:r>
          </w:p>
        </w:tc>
      </w:tr>
      <w:tr>
        <w:tc>
          <w:tcPr>
            <w:tcW w:type="dxa" w:w="2520"/>
          </w:tcPr>
          <w:p>
            <w:r>
              <w:t>M07</w:t>
            </w:r>
          </w:p>
        </w:tc>
        <w:tc>
          <w:tcPr>
            <w:tcW w:type="dxa" w:w="2520"/>
          </w:tcPr>
          <w:p>
            <w:r>
              <w:t>Regulatory Intelligence &amp; Competitor Monitoring</w:t>
            </w:r>
          </w:p>
        </w:tc>
        <w:tc>
          <w:tcPr>
            <w:tcW w:type="dxa" w:w="2520"/>
          </w:tcPr>
          <w:p>
            <w:r>
              <w:t>Self-paced</w:t>
            </w:r>
          </w:p>
        </w:tc>
        <w:tc>
          <w:tcPr>
            <w:tcW w:type="dxa" w:w="2520"/>
          </w:tcPr>
          <w:p>
            <w:r>
              <w:t>2 hrs</w:t>
            </w:r>
          </w:p>
        </w:tc>
      </w:tr>
      <w:tr>
        <w:tc>
          <w:tcPr>
            <w:tcW w:type="dxa" w:w="2520"/>
          </w:tcPr>
          <w:p>
            <w:r>
              <w:t>M08</w:t>
            </w:r>
          </w:p>
        </w:tc>
        <w:tc>
          <w:tcPr>
            <w:tcW w:type="dxa" w:w="2520"/>
          </w:tcPr>
          <w:p>
            <w:r>
              <w:t>Audit Readiness &amp; Inspection Management</w:t>
            </w:r>
          </w:p>
        </w:tc>
        <w:tc>
          <w:tcPr>
            <w:tcW w:type="dxa" w:w="2520"/>
          </w:tcPr>
          <w:p>
            <w:r>
              <w:t>Workshop</w:t>
            </w:r>
          </w:p>
        </w:tc>
        <w:tc>
          <w:tcPr>
            <w:tcW w:type="dxa" w:w="2520"/>
          </w:tcPr>
          <w:p>
            <w:r>
              <w:t>4 hrs</w:t>
            </w:r>
          </w:p>
        </w:tc>
      </w:tr>
      <w:tr>
        <w:tc>
          <w:tcPr>
            <w:tcW w:type="dxa" w:w="2520"/>
          </w:tcPr>
          <w:p>
            <w:r>
              <w:t>M09</w:t>
            </w:r>
          </w:p>
        </w:tc>
        <w:tc>
          <w:tcPr>
            <w:tcW w:type="dxa" w:w="2520"/>
          </w:tcPr>
          <w:p>
            <w:r>
              <w:t>Electronic Submission Tools (e.g. Publishing Systems)</w:t>
            </w:r>
          </w:p>
        </w:tc>
        <w:tc>
          <w:tcPr>
            <w:tcW w:type="dxa" w:w="2520"/>
          </w:tcPr>
          <w:p>
            <w:r>
              <w:t>Hands-on</w:t>
            </w:r>
          </w:p>
        </w:tc>
        <w:tc>
          <w:tcPr>
            <w:tcW w:type="dxa" w:w="2520"/>
          </w:tcPr>
          <w:p>
            <w:r>
              <w:t>5 hrs</w:t>
            </w:r>
          </w:p>
        </w:tc>
      </w:tr>
      <w:tr>
        <w:tc>
          <w:tcPr>
            <w:tcW w:type="dxa" w:w="2520"/>
          </w:tcPr>
          <w:p>
            <w:r>
              <w:t>M10</w:t>
            </w:r>
          </w:p>
        </w:tc>
        <w:tc>
          <w:tcPr>
            <w:tcW w:type="dxa" w:w="2520"/>
          </w:tcPr>
          <w:p>
            <w:r>
              <w:t>Change Control &amp; Post Approval Submissions</w:t>
            </w:r>
          </w:p>
        </w:tc>
        <w:tc>
          <w:tcPr>
            <w:tcW w:type="dxa" w:w="2520"/>
          </w:tcPr>
          <w:p>
            <w:r>
              <w:t>Classroom</w:t>
            </w:r>
          </w:p>
        </w:tc>
        <w:tc>
          <w:tcPr>
            <w:tcW w:type="dxa" w:w="2520"/>
          </w:tcPr>
          <w:p>
            <w:r>
              <w:t>3 hrs</w:t>
            </w:r>
          </w:p>
        </w:tc>
      </w:tr>
    </w:tbl>
    <w:p>
      <w:pPr>
        <w:pStyle w:val="Heading1"/>
      </w:pPr>
      <w:r>
        <w:t>4. Assessment &amp; Certification</w:t>
      </w:r>
    </w:p>
    <w:p>
      <w:r>
        <w:t>Each module will be followed by a knowledge assessment consisting of multiple-choice questions or case-based evaluation. A minimum score of 75% is required for successful completion.</w:t>
      </w:r>
    </w:p>
    <w:p>
      <w:pPr>
        <w:pStyle w:val="Heading1"/>
      </w:pPr>
      <w:r>
        <w:t>5. Training Schedule (First 30 Days)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Week</w:t>
            </w:r>
          </w:p>
        </w:tc>
        <w:tc>
          <w:tcPr>
            <w:tcW w:type="dxa" w:w="3360"/>
          </w:tcPr>
          <w:p>
            <w:r>
              <w:t>Modules Covered</w:t>
            </w:r>
          </w:p>
        </w:tc>
        <w:tc>
          <w:tcPr>
            <w:tcW w:type="dxa" w:w="3360"/>
          </w:tcPr>
          <w:p>
            <w:r>
              <w:t>Remarks</w:t>
            </w:r>
          </w:p>
        </w:tc>
      </w:tr>
      <w:tr>
        <w:tc>
          <w:tcPr>
            <w:tcW w:type="dxa" w:w="3360"/>
          </w:tcPr>
          <w:p>
            <w:r>
              <w:t>Week 1</w:t>
            </w:r>
          </w:p>
        </w:tc>
        <w:tc>
          <w:tcPr>
            <w:tcW w:type="dxa" w:w="3360"/>
          </w:tcPr>
          <w:p>
            <w:r>
              <w:t>M01, M02</w:t>
            </w:r>
          </w:p>
        </w:tc>
        <w:tc>
          <w:tcPr>
            <w:tcW w:type="dxa" w:w="3360"/>
          </w:tcPr>
          <w:p>
            <w:r>
              <w:t>Mandatory</w:t>
            </w:r>
          </w:p>
        </w:tc>
      </w:tr>
      <w:tr>
        <w:tc>
          <w:tcPr>
            <w:tcW w:type="dxa" w:w="3360"/>
          </w:tcPr>
          <w:p>
            <w:r>
              <w:t>Week 2</w:t>
            </w:r>
          </w:p>
        </w:tc>
        <w:tc>
          <w:tcPr>
            <w:tcW w:type="dxa" w:w="3360"/>
          </w:tcPr>
          <w:p>
            <w:r>
              <w:t>M03, M04</w:t>
            </w:r>
          </w:p>
        </w:tc>
        <w:tc>
          <w:tcPr>
            <w:tcW w:type="dxa" w:w="3360"/>
          </w:tcPr>
          <w:p>
            <w:r>
              <w:t>Documentation Focus</w:t>
            </w:r>
          </w:p>
        </w:tc>
      </w:tr>
      <w:tr>
        <w:tc>
          <w:tcPr>
            <w:tcW w:type="dxa" w:w="3360"/>
          </w:tcPr>
          <w:p>
            <w:r>
              <w:t>Week 3</w:t>
            </w:r>
          </w:p>
        </w:tc>
        <w:tc>
          <w:tcPr>
            <w:tcW w:type="dxa" w:w="3360"/>
          </w:tcPr>
          <w:p>
            <w:r>
              <w:t>M05, M06</w:t>
            </w:r>
          </w:p>
        </w:tc>
        <w:tc>
          <w:tcPr>
            <w:tcW w:type="dxa" w:w="3360"/>
          </w:tcPr>
          <w:p>
            <w:r>
              <w:t>Lifecycle &amp; PV</w:t>
            </w:r>
          </w:p>
        </w:tc>
      </w:tr>
      <w:tr>
        <w:tc>
          <w:tcPr>
            <w:tcW w:type="dxa" w:w="3360"/>
          </w:tcPr>
          <w:p>
            <w:r>
              <w:t>Week 4</w:t>
            </w:r>
          </w:p>
        </w:tc>
        <w:tc>
          <w:tcPr>
            <w:tcW w:type="dxa" w:w="3360"/>
          </w:tcPr>
          <w:p>
            <w:r>
              <w:t>M07, M08, M09, M10</w:t>
            </w:r>
          </w:p>
        </w:tc>
        <w:tc>
          <w:tcPr>
            <w:tcW w:type="dxa" w:w="3360"/>
          </w:tcPr>
          <w:p>
            <w:r>
              <w:t>System &amp; Compliance</w:t>
            </w:r>
          </w:p>
        </w:tc>
      </w:tr>
    </w:tbl>
    <w:p>
      <w:pPr>
        <w:pStyle w:val="Heading1"/>
      </w:pPr>
      <w:r>
        <w:t>6. Roles &amp; Responsibilities</w:t>
      </w:r>
    </w:p>
    <w:p>
      <w:r>
        <w:t>• Regulatory Affairs Manager – Overall program governance</w:t>
      </w:r>
    </w:p>
    <w:p>
      <w:r>
        <w:t>• Training Coordinator – Scheduling &amp; tracking completion</w:t>
      </w:r>
    </w:p>
    <w:p>
      <w:r>
        <w:t>• Subject Matter Experts – Conduct technical sessions</w:t>
      </w:r>
    </w:p>
    <w:p>
      <w:r>
        <w:t>• New Joiners – Mandatory participation and assessment completion</w:t>
      </w:r>
    </w:p>
    <w:p>
      <w:pPr>
        <w:pStyle w:val="Heading1"/>
      </w:pPr>
      <w:r>
        <w:t>7. Record Keeping</w:t>
      </w:r>
    </w:p>
    <w:p>
      <w:r>
        <w:t>Training records shall be maintained in the Learning Management System (LMS) and retained as per the organizational document retention policy.</w:t>
      </w:r>
    </w:p>
    <w:p>
      <w:pPr>
        <w:pStyle w:val="Heading1"/>
      </w:pPr>
      <w:r>
        <w:t>8. 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Version</w:t>
            </w:r>
          </w:p>
        </w:tc>
        <w:tc>
          <w:tcPr>
            <w:tcW w:type="dxa" w:w="3360"/>
          </w:tcPr>
          <w:p>
            <w:r>
              <w:t>Date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</w:tr>
      <w:tr>
        <w:tc>
          <w:tcPr>
            <w:tcW w:type="dxa" w:w="3360"/>
          </w:tcPr>
          <w:p>
            <w:r>
              <w:t>1.0</w:t>
            </w:r>
          </w:p>
        </w:tc>
        <w:tc>
          <w:tcPr>
            <w:tcW w:type="dxa" w:w="3360"/>
          </w:tcPr>
          <w:p>
            <w:r>
              <w:t>01-Apr-2026</w:t>
            </w:r>
          </w:p>
        </w:tc>
        <w:tc>
          <w:tcPr>
            <w:tcW w:type="dxa" w:w="3360"/>
          </w:tcPr>
          <w:p>
            <w:r>
              <w:t>Initial Release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