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Optional Training Catalogue by Role – New Joiners</w:t>
      </w:r>
    </w:p>
    <w:p>
      <w:r>
        <w:rPr>
          <w:b/>
        </w:rPr>
        <w:t xml:space="preserve">Version: </w:t>
      </w:r>
      <w:r>
        <w:t>1.0</w:t>
        <w:br/>
      </w:r>
      <w:r>
        <w:rPr>
          <w:b/>
        </w:rPr>
        <w:t xml:space="preserve">Effective Date: </w:t>
      </w:r>
      <w:r>
        <w:t>01-Jan-2026</w:t>
        <w:br/>
      </w:r>
      <w:r>
        <w:rPr>
          <w:b/>
        </w:rPr>
        <w:t xml:space="preserve">Audience: </w:t>
      </w:r>
      <w:r>
        <w:t>All Employees</w:t>
        <w:br/>
      </w:r>
    </w:p>
    <w:p>
      <w:pPr>
        <w:pStyle w:val="Heading1"/>
      </w:pPr>
      <w:r>
        <w:t>Purpose</w:t>
      </w:r>
    </w:p>
    <w:p>
      <w:r>
        <w:t>This document defines the standard onboarding and training or access enablement expectations applicable to new joiners across designated roles within the organization.</w:t>
      </w:r>
    </w:p>
    <w:p>
      <w:pPr>
        <w:pStyle w:val="Heading1"/>
      </w:pPr>
      <w:r>
        <w:t>Scope</w:t>
      </w:r>
    </w:p>
    <w:p>
      <w:r>
        <w:t>This document applies to all full-time employees joining the organization in Business Analyst, Technical Analyst, Assistant Manager, Manager and Program Lead roles.</w:t>
      </w:r>
    </w:p>
    <w:p>
      <w:pPr>
        <w:pStyle w:val="Heading1"/>
      </w:pPr>
      <w:r>
        <w:t>Definitions</w:t>
      </w:r>
    </w:p>
    <w:p>
      <w:r>
        <w:t>DOJ: Date of Joining</w:t>
        <w:br/>
        <w:t>LMS: Learning Management System</w:t>
        <w:br/>
        <w:t>Access Owner: Application or platform owner responsible for granting access.</w:t>
      </w:r>
    </w:p>
    <w:p>
      <w:pPr>
        <w:pStyle w:val="Heading1"/>
      </w:pPr>
      <w:r>
        <w:t>Responsibilities</w:t>
      </w:r>
    </w:p>
    <w:p>
      <w:r>
        <w:t>Employees must complete or request items as applicable within defined timelines. Reporting Managers and HR Business Partners are responsible for tracking compliance.</w:t>
      </w:r>
    </w:p>
    <w:p>
      <w:pPr>
        <w:pStyle w:val="Heading1"/>
      </w:pPr>
      <w:r>
        <w:t>Optional Training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Optional Training</w:t>
            </w:r>
          </w:p>
        </w:tc>
        <w:tc>
          <w:tcPr>
            <w:tcW w:type="dxa" w:w="2880"/>
          </w:tcPr>
          <w:p>
            <w:r>
              <w:t>Suggested Completion Timeline</w:t>
            </w:r>
          </w:p>
        </w:tc>
      </w:tr>
      <w:tr>
        <w:tc>
          <w:tcPr>
            <w:tcW w:type="dxa" w:w="2880"/>
          </w:tcPr>
          <w:p>
            <w:r>
              <w:t>Business Analyst</w:t>
            </w:r>
          </w:p>
        </w:tc>
        <w:tc>
          <w:tcPr>
            <w:tcW w:type="dxa" w:w="2880"/>
          </w:tcPr>
          <w:p>
            <w:r>
              <w:t>Advanced Data Visualization</w:t>
            </w:r>
          </w:p>
        </w:tc>
        <w:tc>
          <w:tcPr>
            <w:tcW w:type="dxa" w:w="2880"/>
          </w:tcPr>
          <w:p>
            <w:r>
              <w:t>Within 120 days</w:t>
            </w:r>
          </w:p>
        </w:tc>
      </w:tr>
      <w:tr>
        <w:tc>
          <w:tcPr>
            <w:tcW w:type="dxa" w:w="2880"/>
          </w:tcPr>
          <w:p>
            <w:r>
              <w:t>Business Analyst</w:t>
            </w:r>
          </w:p>
        </w:tc>
        <w:tc>
          <w:tcPr>
            <w:tcW w:type="dxa" w:w="2880"/>
          </w:tcPr>
          <w:p>
            <w:r>
              <w:t>Domain Certifications</w:t>
            </w:r>
          </w:p>
        </w:tc>
        <w:tc>
          <w:tcPr>
            <w:tcW w:type="dxa" w:w="2880"/>
          </w:tcPr>
          <w:p>
            <w:r>
              <w:t>Within 180 days</w:t>
            </w:r>
          </w:p>
        </w:tc>
      </w:tr>
      <w:tr>
        <w:tc>
          <w:tcPr>
            <w:tcW w:type="dxa" w:w="2880"/>
          </w:tcPr>
          <w:p>
            <w:r>
              <w:t>Technical Analyst</w:t>
            </w:r>
          </w:p>
        </w:tc>
        <w:tc>
          <w:tcPr>
            <w:tcW w:type="dxa" w:w="2880"/>
          </w:tcPr>
          <w:p>
            <w:r>
              <w:t>Cloud Fundamentals</w:t>
            </w:r>
          </w:p>
        </w:tc>
        <w:tc>
          <w:tcPr>
            <w:tcW w:type="dxa" w:w="2880"/>
          </w:tcPr>
          <w:p>
            <w:r>
              <w:t>Within 120 days</w:t>
            </w:r>
          </w:p>
        </w:tc>
      </w:tr>
      <w:tr>
        <w:tc>
          <w:tcPr>
            <w:tcW w:type="dxa" w:w="2880"/>
          </w:tcPr>
          <w:p>
            <w:r>
              <w:t>Technical Analyst</w:t>
            </w:r>
          </w:p>
        </w:tc>
        <w:tc>
          <w:tcPr>
            <w:tcW w:type="dxa" w:w="2880"/>
          </w:tcPr>
          <w:p>
            <w:r>
              <w:t>Automation Frameworks</w:t>
            </w:r>
          </w:p>
        </w:tc>
        <w:tc>
          <w:tcPr>
            <w:tcW w:type="dxa" w:w="2880"/>
          </w:tcPr>
          <w:p>
            <w:r>
              <w:t>Within 180 days</w:t>
            </w:r>
          </w:p>
        </w:tc>
      </w:tr>
      <w:tr>
        <w:tc>
          <w:tcPr>
            <w:tcW w:type="dxa" w:w="2880"/>
          </w:tcPr>
          <w:p>
            <w:r>
              <w:t>Assistant Manager</w:t>
            </w:r>
          </w:p>
        </w:tc>
        <w:tc>
          <w:tcPr>
            <w:tcW w:type="dxa" w:w="2880"/>
          </w:tcPr>
          <w:p>
            <w:r>
              <w:t>Coaching Skills</w:t>
            </w:r>
          </w:p>
        </w:tc>
        <w:tc>
          <w:tcPr>
            <w:tcW w:type="dxa" w:w="2880"/>
          </w:tcPr>
          <w:p>
            <w:r>
              <w:t>Within 150 days</w:t>
            </w:r>
          </w:p>
        </w:tc>
      </w:tr>
      <w:tr>
        <w:tc>
          <w:tcPr>
            <w:tcW w:type="dxa" w:w="2880"/>
          </w:tcPr>
          <w:p>
            <w:r>
              <w:t>Manager</w:t>
            </w:r>
          </w:p>
        </w:tc>
        <w:tc>
          <w:tcPr>
            <w:tcW w:type="dxa" w:w="2880"/>
          </w:tcPr>
          <w:p>
            <w:r>
              <w:t>Change Management</w:t>
            </w:r>
          </w:p>
        </w:tc>
        <w:tc>
          <w:tcPr>
            <w:tcW w:type="dxa" w:w="2880"/>
          </w:tcPr>
          <w:p>
            <w:r>
              <w:t>Within 180 days</w:t>
            </w:r>
          </w:p>
        </w:tc>
      </w:tr>
      <w:tr>
        <w:tc>
          <w:tcPr>
            <w:tcW w:type="dxa" w:w="2880"/>
          </w:tcPr>
          <w:p>
            <w:r>
              <w:t>Program Lead</w:t>
            </w:r>
          </w:p>
        </w:tc>
        <w:tc>
          <w:tcPr>
            <w:tcW w:type="dxa" w:w="2880"/>
          </w:tcPr>
          <w:p>
            <w:r>
              <w:t>Executive Communication</w:t>
            </w:r>
          </w:p>
        </w:tc>
        <w:tc>
          <w:tcPr>
            <w:tcW w:type="dxa" w:w="2880"/>
          </w:tcPr>
          <w:p>
            <w:r>
              <w:t>Within 180 days</w:t>
            </w:r>
          </w:p>
        </w:tc>
      </w:tr>
      <w:tr>
        <w:tc>
          <w:tcPr>
            <w:tcW w:type="dxa" w:w="2880"/>
          </w:tcPr>
          <w:p>
            <w:r>
              <w:t>Program Lead</w:t>
            </w:r>
          </w:p>
        </w:tc>
        <w:tc>
          <w:tcPr>
            <w:tcW w:type="dxa" w:w="2880"/>
          </w:tcPr>
          <w:p>
            <w:r>
              <w:t>Vendor Management</w:t>
            </w:r>
          </w:p>
        </w:tc>
        <w:tc>
          <w:tcPr>
            <w:tcW w:type="dxa" w:w="2880"/>
          </w:tcPr>
          <w:p>
            <w:r>
              <w:t>Within 180 days</w:t>
            </w:r>
          </w:p>
        </w:tc>
      </w:tr>
    </w:tbl>
    <w:p>
      <w:pPr>
        <w:pStyle w:val="Heading1"/>
      </w:pPr>
      <w:r>
        <w:t>Nomination Process</w:t>
      </w:r>
    </w:p>
    <w:p>
      <w:r>
        <w:t>Employees may nominate themselves through LMS. Manager approval is required prior to enrollment.</w:t>
      </w:r>
    </w:p>
    <w:p>
      <w:pPr>
        <w:pStyle w:val="Heading1"/>
      </w:pPr>
      <w:r>
        <w:t>Benefits</w:t>
      </w:r>
    </w:p>
    <w:p>
      <w:r>
        <w:t>Optional trainings enhance role readiness and succession preparedness without impacting mandatory compliance metrics.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