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Mandatory Training Completion Requirements – New Joiners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01-Jan-2026</w:t>
        <w:br/>
      </w:r>
      <w:r>
        <w:rPr>
          <w:b/>
        </w:rPr>
        <w:t xml:space="preserve">Audience: </w:t>
      </w:r>
      <w:r>
        <w:t>All Employees</w:t>
        <w:br/>
      </w:r>
    </w:p>
    <w:p>
      <w:pPr>
        <w:pStyle w:val="Heading1"/>
      </w:pPr>
      <w:r>
        <w:t>Purpose</w:t>
      </w:r>
    </w:p>
    <w:p>
      <w:r>
        <w:t>This document defines the standard onboarding and training or access enablement expectations applicable to new joiners across designated roles within the organization.</w:t>
      </w:r>
    </w:p>
    <w:p>
      <w:pPr>
        <w:pStyle w:val="Heading1"/>
      </w:pPr>
      <w:r>
        <w:t>Scope</w:t>
      </w:r>
    </w:p>
    <w:p>
      <w:r>
        <w:t>This document applies to all full-time employees joining the organization in Business Analyst, Technical Analyst, Assistant Manager, Manager and Program Lead roles.</w:t>
      </w:r>
    </w:p>
    <w:p>
      <w:pPr>
        <w:pStyle w:val="Heading1"/>
      </w:pPr>
      <w:r>
        <w:t>Definitions</w:t>
      </w:r>
    </w:p>
    <w:p>
      <w:r>
        <w:t>DOJ: Date of Joining</w:t>
        <w:br/>
        <w:t>LMS: Learning Management System</w:t>
        <w:br/>
        <w:t>Access Owner: Application or platform owner responsible for granting access.</w:t>
      </w:r>
    </w:p>
    <w:p>
      <w:pPr>
        <w:pStyle w:val="Heading1"/>
      </w:pPr>
      <w:r>
        <w:t>Responsibilities</w:t>
      </w:r>
    </w:p>
    <w:p>
      <w:r>
        <w:t>Employees must complete or request items as applicable within defined timelines. Reporting Managers and HR Business Partners are responsible for tracking compliance.</w:t>
      </w:r>
    </w:p>
    <w:p>
      <w:pPr>
        <w:pStyle w:val="Heading1"/>
      </w:pPr>
      <w:r>
        <w:t>Mandatory Training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Training Name</w:t>
            </w:r>
          </w:p>
        </w:tc>
        <w:tc>
          <w:tcPr>
            <w:tcW w:type="dxa" w:w="2160"/>
          </w:tcPr>
          <w:p>
            <w:r>
              <w:t>Completion Timeline from DOJ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All Roles</w:t>
            </w:r>
          </w:p>
        </w:tc>
        <w:tc>
          <w:tcPr>
            <w:tcW w:type="dxa" w:w="2160"/>
          </w:tcPr>
          <w:p>
            <w:r>
              <w:t>Code of Conduct</w:t>
            </w:r>
          </w:p>
        </w:tc>
        <w:tc>
          <w:tcPr>
            <w:tcW w:type="dxa" w:w="2160"/>
          </w:tcPr>
          <w:p>
            <w:r>
              <w:t>Within 7 days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</w:tr>
      <w:tr>
        <w:tc>
          <w:tcPr>
            <w:tcW w:type="dxa" w:w="2160"/>
          </w:tcPr>
          <w:p>
            <w:r>
              <w:t>All Roles</w:t>
            </w:r>
          </w:p>
        </w:tc>
        <w:tc>
          <w:tcPr>
            <w:tcW w:type="dxa" w:w="2160"/>
          </w:tcPr>
          <w:p>
            <w:r>
              <w:t>Information Security</w:t>
            </w:r>
          </w:p>
        </w:tc>
        <w:tc>
          <w:tcPr>
            <w:tcW w:type="dxa" w:w="2160"/>
          </w:tcPr>
          <w:p>
            <w:r>
              <w:t>Within 10 days</w:t>
            </w:r>
          </w:p>
        </w:tc>
        <w:tc>
          <w:tcPr>
            <w:tcW w:type="dxa" w:w="2160"/>
          </w:tcPr>
          <w:p>
            <w:r>
              <w:t>3 hrs</w:t>
            </w:r>
          </w:p>
        </w:tc>
      </w:tr>
      <w:tr>
        <w:tc>
          <w:tcPr>
            <w:tcW w:type="dxa" w:w="2160"/>
          </w:tcPr>
          <w:p>
            <w:r>
              <w:t>All Roles</w:t>
            </w:r>
          </w:p>
        </w:tc>
        <w:tc>
          <w:tcPr>
            <w:tcW w:type="dxa" w:w="2160"/>
          </w:tcPr>
          <w:p>
            <w:r>
              <w:t>Data Privacy</w:t>
            </w:r>
          </w:p>
        </w:tc>
        <w:tc>
          <w:tcPr>
            <w:tcW w:type="dxa" w:w="2160"/>
          </w:tcPr>
          <w:p>
            <w:r>
              <w:t>Within 14 days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</w:tr>
      <w:tr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Requirements Engineering</w:t>
            </w:r>
          </w:p>
        </w:tc>
        <w:tc>
          <w:tcPr>
            <w:tcW w:type="dxa" w:w="2160"/>
          </w:tcPr>
          <w:p>
            <w:r>
              <w:t>Within 30 days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</w:tr>
      <w:tr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Stakeholder Management</w:t>
            </w:r>
          </w:p>
        </w:tc>
        <w:tc>
          <w:tcPr>
            <w:tcW w:type="dxa" w:w="2160"/>
          </w:tcPr>
          <w:p>
            <w:r>
              <w:t>Within 45 days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</w:tr>
      <w:tr>
        <w:tc>
          <w:tcPr>
            <w:tcW w:type="dxa" w:w="2160"/>
          </w:tcPr>
          <w:p>
            <w:r>
              <w:t>Technical Analyst</w:t>
            </w:r>
          </w:p>
        </w:tc>
        <w:tc>
          <w:tcPr>
            <w:tcW w:type="dxa" w:w="2160"/>
          </w:tcPr>
          <w:p>
            <w:r>
              <w:t>System Architecture Basics</w:t>
            </w:r>
          </w:p>
        </w:tc>
        <w:tc>
          <w:tcPr>
            <w:tcW w:type="dxa" w:w="2160"/>
          </w:tcPr>
          <w:p>
            <w:r>
              <w:t>Within 30 days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</w:tr>
      <w:tr>
        <w:tc>
          <w:tcPr>
            <w:tcW w:type="dxa" w:w="2160"/>
          </w:tcPr>
          <w:p>
            <w:r>
              <w:t>Technical Analyst</w:t>
            </w:r>
          </w:p>
        </w:tc>
        <w:tc>
          <w:tcPr>
            <w:tcW w:type="dxa" w:w="2160"/>
          </w:tcPr>
          <w:p>
            <w:r>
              <w:t>Secure Coding Awareness</w:t>
            </w:r>
          </w:p>
        </w:tc>
        <w:tc>
          <w:tcPr>
            <w:tcW w:type="dxa" w:w="2160"/>
          </w:tcPr>
          <w:p>
            <w:r>
              <w:t>Within 45 days</w:t>
            </w:r>
          </w:p>
        </w:tc>
        <w:tc>
          <w:tcPr>
            <w:tcW w:type="dxa" w:w="2160"/>
          </w:tcPr>
          <w:p>
            <w:r>
              <w:t>5 hrs</w:t>
            </w:r>
          </w:p>
        </w:tc>
      </w:tr>
      <w:tr>
        <w:tc>
          <w:tcPr>
            <w:tcW w:type="dxa" w:w="2160"/>
          </w:tcPr>
          <w:p>
            <w:r>
              <w:t>Assistant Manager</w:t>
            </w:r>
          </w:p>
        </w:tc>
        <w:tc>
          <w:tcPr>
            <w:tcW w:type="dxa" w:w="2160"/>
          </w:tcPr>
          <w:p>
            <w:r>
              <w:t>People Management Fundamentals</w:t>
            </w:r>
          </w:p>
        </w:tc>
        <w:tc>
          <w:tcPr>
            <w:tcW w:type="dxa" w:w="2160"/>
          </w:tcPr>
          <w:p>
            <w:r>
              <w:t>Within 60 days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</w:tr>
      <w:tr>
        <w:tc>
          <w:tcPr>
            <w:tcW w:type="dxa" w:w="2160"/>
          </w:tcPr>
          <w:p>
            <w:r>
              <w:t>Assistant Manager</w:t>
            </w:r>
          </w:p>
        </w:tc>
        <w:tc>
          <w:tcPr>
            <w:tcW w:type="dxa" w:w="2160"/>
          </w:tcPr>
          <w:p>
            <w:r>
              <w:t>Project Planning</w:t>
            </w:r>
          </w:p>
        </w:tc>
        <w:tc>
          <w:tcPr>
            <w:tcW w:type="dxa" w:w="2160"/>
          </w:tcPr>
          <w:p>
            <w:r>
              <w:t>Within 60 days</w:t>
            </w:r>
          </w:p>
        </w:tc>
        <w:tc>
          <w:tcPr>
            <w:tcW w:type="dxa" w:w="2160"/>
          </w:tcPr>
          <w:p>
            <w:r>
              <w:t>4 hrs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Risk &amp; Compliance</w:t>
            </w:r>
          </w:p>
        </w:tc>
        <w:tc>
          <w:tcPr>
            <w:tcW w:type="dxa" w:w="2160"/>
          </w:tcPr>
          <w:p>
            <w:r>
              <w:t>Within 75 days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Delivery Governance</w:t>
            </w:r>
          </w:p>
        </w:tc>
        <w:tc>
          <w:tcPr>
            <w:tcW w:type="dxa" w:w="2160"/>
          </w:tcPr>
          <w:p>
            <w:r>
              <w:t>Within 75 days</w:t>
            </w:r>
          </w:p>
        </w:tc>
        <w:tc>
          <w:tcPr>
            <w:tcW w:type="dxa" w:w="2160"/>
          </w:tcPr>
          <w:p>
            <w:r>
              <w:t>5 hrs</w:t>
            </w:r>
          </w:p>
        </w:tc>
      </w:tr>
      <w:tr>
        <w:tc>
          <w:tcPr>
            <w:tcW w:type="dxa" w:w="2160"/>
          </w:tcPr>
          <w:p>
            <w:r>
              <w:t>Program Lead</w:t>
            </w:r>
          </w:p>
        </w:tc>
        <w:tc>
          <w:tcPr>
            <w:tcW w:type="dxa" w:w="2160"/>
          </w:tcPr>
          <w:p>
            <w:r>
              <w:t>Strategic Portfolio Mgmt</w:t>
            </w:r>
          </w:p>
        </w:tc>
        <w:tc>
          <w:tcPr>
            <w:tcW w:type="dxa" w:w="2160"/>
          </w:tcPr>
          <w:p>
            <w:r>
              <w:t>Within 90 days</w:t>
            </w:r>
          </w:p>
        </w:tc>
        <w:tc>
          <w:tcPr>
            <w:tcW w:type="dxa" w:w="2160"/>
          </w:tcPr>
          <w:p>
            <w:r>
              <w:t>8 hrs</w:t>
            </w:r>
          </w:p>
        </w:tc>
      </w:tr>
      <w:tr>
        <w:tc>
          <w:tcPr>
            <w:tcW w:type="dxa" w:w="2160"/>
          </w:tcPr>
          <w:p>
            <w:r>
              <w:t>Program Lead</w:t>
            </w:r>
          </w:p>
        </w:tc>
        <w:tc>
          <w:tcPr>
            <w:tcW w:type="dxa" w:w="2160"/>
          </w:tcPr>
          <w:p>
            <w:r>
              <w:t>Financial Oversight</w:t>
            </w:r>
          </w:p>
        </w:tc>
        <w:tc>
          <w:tcPr>
            <w:tcW w:type="dxa" w:w="2160"/>
          </w:tcPr>
          <w:p>
            <w:r>
              <w:t>Within 90 days</w:t>
            </w:r>
          </w:p>
        </w:tc>
        <w:tc>
          <w:tcPr>
            <w:tcW w:type="dxa" w:w="2160"/>
          </w:tcPr>
          <w:p>
            <w:r>
              <w:t>6 hrs</w:t>
            </w:r>
          </w:p>
        </w:tc>
      </w:tr>
    </w:tbl>
    <w:p>
      <w:pPr>
        <w:pStyle w:val="Heading1"/>
      </w:pPr>
      <w:r>
        <w:t>Tracking and Reporting</w:t>
      </w:r>
    </w:p>
    <w:p>
      <w:r>
        <w:t>Completion status will be tracked via LMS dashboards and monitored by HR and reporting managers. Non-compliance beyond defined DOJ timelines may impact confirmation or appraisal cycles.</w:t>
      </w:r>
    </w:p>
    <w:p>
      <w:pPr>
        <w:pStyle w:val="Heading1"/>
      </w:pPr>
      <w:r>
        <w:t>Escalation</w:t>
      </w:r>
    </w:p>
    <w:p>
      <w:r>
        <w:t>Escalations for delays beyond 15 days from stipulated timelines shall be raised to HRBP and Delivery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