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DDC25" w14:textId="77777777" w:rsidR="00BE2ECF" w:rsidRPr="00BE2ECF" w:rsidRDefault="00BE2ECF" w:rsidP="00BE2ECF">
      <w:pPr>
        <w:rPr>
          <w:b/>
          <w:bCs/>
          <w:sz w:val="32"/>
          <w:szCs w:val="32"/>
        </w:rPr>
      </w:pPr>
      <w:r w:rsidRPr="00BE2ECF">
        <w:rPr>
          <w:rFonts w:ascii="Segoe UI Emoji" w:hAnsi="Segoe UI Emoji" w:cs="Segoe UI Emoji"/>
          <w:b/>
          <w:bCs/>
          <w:sz w:val="32"/>
          <w:szCs w:val="32"/>
        </w:rPr>
        <w:t>🛡️</w:t>
      </w:r>
      <w:r w:rsidRPr="00BE2ECF">
        <w:rPr>
          <w:b/>
          <w:bCs/>
          <w:sz w:val="32"/>
          <w:szCs w:val="32"/>
        </w:rPr>
        <w:t xml:space="preserve"> Basic Vulnerability Scan Report</w:t>
      </w:r>
    </w:p>
    <w:p w14:paraId="32B36104" w14:textId="1AEDEC90" w:rsidR="00BE2ECF" w:rsidRDefault="00BE2ECF" w:rsidP="00BE2ECF">
      <w:pPr>
        <w:rPr>
          <w:sz w:val="20"/>
          <w:szCs w:val="20"/>
        </w:rPr>
      </w:pPr>
      <w:r w:rsidRPr="00BE2ECF">
        <w:rPr>
          <w:b/>
          <w:bCs/>
          <w:sz w:val="20"/>
          <w:szCs w:val="20"/>
        </w:rPr>
        <w:t>Tool Used</w:t>
      </w:r>
      <w:r w:rsidRPr="00BE2ECF">
        <w:rPr>
          <w:sz w:val="20"/>
          <w:szCs w:val="20"/>
        </w:rPr>
        <w:t>: Nessus Essentials</w:t>
      </w:r>
      <w:r w:rsidRPr="00BE2ECF">
        <w:rPr>
          <w:sz w:val="20"/>
          <w:szCs w:val="20"/>
        </w:rPr>
        <w:br/>
      </w:r>
      <w:r w:rsidRPr="00BE2ECF">
        <w:rPr>
          <w:b/>
          <w:bCs/>
          <w:sz w:val="20"/>
          <w:szCs w:val="20"/>
        </w:rPr>
        <w:t>Scan Date</w:t>
      </w:r>
      <w:r w:rsidRPr="00BE2ECF">
        <w:rPr>
          <w:sz w:val="20"/>
          <w:szCs w:val="20"/>
        </w:rPr>
        <w:t>:</w:t>
      </w:r>
      <w:r>
        <w:rPr>
          <w:sz w:val="20"/>
          <w:szCs w:val="20"/>
        </w:rPr>
        <w:t>01/06/2025</w:t>
      </w:r>
      <w:r w:rsidRPr="00BE2ECF">
        <w:rPr>
          <w:sz w:val="20"/>
          <w:szCs w:val="20"/>
        </w:rPr>
        <w:br/>
      </w:r>
      <w:r w:rsidRPr="00BE2ECF">
        <w:rPr>
          <w:b/>
          <w:bCs/>
          <w:sz w:val="20"/>
          <w:szCs w:val="20"/>
        </w:rPr>
        <w:t>Scan Target</w:t>
      </w:r>
      <w:r w:rsidRPr="00BE2ECF">
        <w:rPr>
          <w:sz w:val="20"/>
          <w:szCs w:val="20"/>
        </w:rPr>
        <w:t>: 192.168.56.1</w:t>
      </w:r>
      <w:r w:rsidRPr="00BE2ECF">
        <w:rPr>
          <w:sz w:val="20"/>
          <w:szCs w:val="20"/>
        </w:rPr>
        <w:br/>
      </w:r>
      <w:r w:rsidRPr="00BE2ECF">
        <w:rPr>
          <w:b/>
          <w:bCs/>
          <w:sz w:val="20"/>
          <w:szCs w:val="20"/>
        </w:rPr>
        <w:t>Scan Duration</w:t>
      </w:r>
      <w:r w:rsidRPr="00BE2ECF">
        <w:rPr>
          <w:sz w:val="20"/>
          <w:szCs w:val="20"/>
        </w:rPr>
        <w:t xml:space="preserve">: </w:t>
      </w:r>
      <w:r>
        <w:rPr>
          <w:sz w:val="20"/>
          <w:szCs w:val="20"/>
        </w:rPr>
        <w:t>23 mins</w:t>
      </w:r>
    </w:p>
    <w:p w14:paraId="3CF7899B" w14:textId="7F7E7017" w:rsidR="00BE2ECF" w:rsidRPr="00BE2ECF" w:rsidRDefault="00BE2ECF" w:rsidP="00BE2ECF">
      <w:pPr>
        <w:pStyle w:val="ListParagraph"/>
        <w:numPr>
          <w:ilvl w:val="0"/>
          <w:numId w:val="1"/>
        </w:numPr>
        <w:rPr>
          <w:b/>
          <w:bCs/>
          <w:sz w:val="28"/>
          <w:szCs w:val="28"/>
        </w:rPr>
      </w:pPr>
      <w:r w:rsidRPr="00BE2ECF">
        <w:rPr>
          <w:b/>
          <w:bCs/>
          <w:sz w:val="28"/>
          <w:szCs w:val="28"/>
        </w:rPr>
        <w:t>Executive Summary</w:t>
      </w:r>
      <w:r w:rsidRPr="00BE2ECF">
        <w:rPr>
          <w:b/>
          <w:bCs/>
          <w:sz w:val="28"/>
          <w:szCs w:val="28"/>
        </w:rPr>
        <w:t>:</w:t>
      </w:r>
    </w:p>
    <w:tbl>
      <w:tblPr>
        <w:tblpPr w:leftFromText="180" w:rightFromText="180" w:vertAnchor="text" w:horzAnchor="margin" w:tblpXSpec="center" w:tblpY="437"/>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4"/>
        <w:gridCol w:w="2422"/>
      </w:tblGrid>
      <w:tr w:rsidR="00BE2ECF" w:rsidRPr="00BE2ECF" w14:paraId="7A32750D" w14:textId="77777777" w:rsidTr="00BE2ECF">
        <w:trPr>
          <w:tblHeader/>
          <w:tblCellSpacing w:w="15" w:type="dxa"/>
        </w:trPr>
        <w:tc>
          <w:tcPr>
            <w:tcW w:w="0" w:type="auto"/>
            <w:vAlign w:val="center"/>
            <w:hideMark/>
          </w:tcPr>
          <w:p w14:paraId="1FFC67EE" w14:textId="77777777" w:rsidR="00BE2ECF" w:rsidRPr="00BE2ECF" w:rsidRDefault="00BE2ECF" w:rsidP="00BE2ECF">
            <w:pPr>
              <w:rPr>
                <w:b/>
                <w:bCs/>
                <w:sz w:val="20"/>
                <w:szCs w:val="20"/>
              </w:rPr>
            </w:pPr>
            <w:r w:rsidRPr="00BE2ECF">
              <w:rPr>
                <w:b/>
                <w:bCs/>
                <w:sz w:val="20"/>
                <w:szCs w:val="20"/>
              </w:rPr>
              <w:t>Severity</w:t>
            </w:r>
          </w:p>
        </w:tc>
        <w:tc>
          <w:tcPr>
            <w:tcW w:w="0" w:type="auto"/>
            <w:vAlign w:val="center"/>
            <w:hideMark/>
          </w:tcPr>
          <w:p w14:paraId="312BD90C" w14:textId="77777777" w:rsidR="00BE2ECF" w:rsidRPr="00BE2ECF" w:rsidRDefault="00BE2ECF" w:rsidP="00BE2ECF">
            <w:pPr>
              <w:rPr>
                <w:b/>
                <w:bCs/>
                <w:sz w:val="20"/>
                <w:szCs w:val="20"/>
              </w:rPr>
            </w:pPr>
            <w:r w:rsidRPr="00BE2ECF">
              <w:rPr>
                <w:b/>
                <w:bCs/>
                <w:sz w:val="20"/>
                <w:szCs w:val="20"/>
              </w:rPr>
              <w:t>Number of Vulnerabilities</w:t>
            </w:r>
          </w:p>
        </w:tc>
      </w:tr>
      <w:tr w:rsidR="00BE2ECF" w:rsidRPr="00BE2ECF" w14:paraId="0A00CB0C" w14:textId="77777777" w:rsidTr="00BE2ECF">
        <w:trPr>
          <w:tblCellSpacing w:w="15" w:type="dxa"/>
        </w:trPr>
        <w:tc>
          <w:tcPr>
            <w:tcW w:w="0" w:type="auto"/>
            <w:vAlign w:val="center"/>
            <w:hideMark/>
          </w:tcPr>
          <w:p w14:paraId="7CC16FCD" w14:textId="77777777" w:rsidR="00BE2ECF" w:rsidRPr="00BE2ECF" w:rsidRDefault="00BE2ECF" w:rsidP="00BE2ECF">
            <w:pPr>
              <w:rPr>
                <w:sz w:val="20"/>
                <w:szCs w:val="20"/>
              </w:rPr>
            </w:pPr>
            <w:r w:rsidRPr="00BE2ECF">
              <w:rPr>
                <w:sz w:val="20"/>
                <w:szCs w:val="20"/>
              </w:rPr>
              <w:t>Critical</w:t>
            </w:r>
          </w:p>
        </w:tc>
        <w:tc>
          <w:tcPr>
            <w:tcW w:w="0" w:type="auto"/>
            <w:vAlign w:val="center"/>
            <w:hideMark/>
          </w:tcPr>
          <w:p w14:paraId="23EB03E2" w14:textId="0E8C182B" w:rsidR="00BE2ECF" w:rsidRPr="00BE2ECF" w:rsidRDefault="00BE2ECF" w:rsidP="00BE2ECF">
            <w:pPr>
              <w:rPr>
                <w:sz w:val="20"/>
                <w:szCs w:val="20"/>
              </w:rPr>
            </w:pPr>
            <w:r>
              <w:rPr>
                <w:sz w:val="20"/>
                <w:szCs w:val="20"/>
              </w:rPr>
              <w:t>0</w:t>
            </w:r>
          </w:p>
        </w:tc>
      </w:tr>
      <w:tr w:rsidR="00BE2ECF" w:rsidRPr="00BE2ECF" w14:paraId="5B0043C3" w14:textId="77777777" w:rsidTr="00BE2ECF">
        <w:trPr>
          <w:tblCellSpacing w:w="15" w:type="dxa"/>
        </w:trPr>
        <w:tc>
          <w:tcPr>
            <w:tcW w:w="0" w:type="auto"/>
            <w:vAlign w:val="center"/>
            <w:hideMark/>
          </w:tcPr>
          <w:p w14:paraId="5B7A4BF2" w14:textId="77777777" w:rsidR="00BE2ECF" w:rsidRPr="00BE2ECF" w:rsidRDefault="00BE2ECF" w:rsidP="00BE2ECF">
            <w:pPr>
              <w:rPr>
                <w:sz w:val="20"/>
                <w:szCs w:val="20"/>
              </w:rPr>
            </w:pPr>
            <w:r w:rsidRPr="00BE2ECF">
              <w:rPr>
                <w:sz w:val="20"/>
                <w:szCs w:val="20"/>
              </w:rPr>
              <w:t>High</w:t>
            </w:r>
          </w:p>
        </w:tc>
        <w:tc>
          <w:tcPr>
            <w:tcW w:w="0" w:type="auto"/>
            <w:vAlign w:val="center"/>
            <w:hideMark/>
          </w:tcPr>
          <w:p w14:paraId="7DC072C7" w14:textId="0CEBD1B9" w:rsidR="00BE2ECF" w:rsidRPr="00BE2ECF" w:rsidRDefault="00BE2ECF" w:rsidP="00BE2ECF">
            <w:pPr>
              <w:rPr>
                <w:sz w:val="20"/>
                <w:szCs w:val="20"/>
              </w:rPr>
            </w:pPr>
            <w:r>
              <w:rPr>
                <w:sz w:val="20"/>
                <w:szCs w:val="20"/>
              </w:rPr>
              <w:t>0</w:t>
            </w:r>
          </w:p>
        </w:tc>
      </w:tr>
      <w:tr w:rsidR="00BE2ECF" w:rsidRPr="00BE2ECF" w14:paraId="5D0905BF" w14:textId="77777777" w:rsidTr="00BE2ECF">
        <w:trPr>
          <w:tblCellSpacing w:w="15" w:type="dxa"/>
        </w:trPr>
        <w:tc>
          <w:tcPr>
            <w:tcW w:w="0" w:type="auto"/>
            <w:vAlign w:val="center"/>
            <w:hideMark/>
          </w:tcPr>
          <w:p w14:paraId="34347944" w14:textId="77777777" w:rsidR="00BE2ECF" w:rsidRPr="00BE2ECF" w:rsidRDefault="00BE2ECF" w:rsidP="00BE2ECF">
            <w:pPr>
              <w:rPr>
                <w:sz w:val="20"/>
                <w:szCs w:val="20"/>
              </w:rPr>
            </w:pPr>
            <w:r w:rsidRPr="00BE2ECF">
              <w:rPr>
                <w:sz w:val="20"/>
                <w:szCs w:val="20"/>
              </w:rPr>
              <w:t>Medium</w:t>
            </w:r>
          </w:p>
        </w:tc>
        <w:tc>
          <w:tcPr>
            <w:tcW w:w="0" w:type="auto"/>
            <w:vAlign w:val="center"/>
            <w:hideMark/>
          </w:tcPr>
          <w:p w14:paraId="5C1CEEFB" w14:textId="50485369" w:rsidR="00BE2ECF" w:rsidRPr="00BE2ECF" w:rsidRDefault="00BE2ECF" w:rsidP="00BE2ECF">
            <w:pPr>
              <w:rPr>
                <w:sz w:val="20"/>
                <w:szCs w:val="20"/>
              </w:rPr>
            </w:pPr>
            <w:r>
              <w:rPr>
                <w:sz w:val="20"/>
                <w:szCs w:val="20"/>
              </w:rPr>
              <w:t>1</w:t>
            </w:r>
          </w:p>
        </w:tc>
      </w:tr>
      <w:tr w:rsidR="00BE2ECF" w:rsidRPr="00BE2ECF" w14:paraId="04D7EFA2" w14:textId="77777777" w:rsidTr="00BE2ECF">
        <w:trPr>
          <w:tblCellSpacing w:w="15" w:type="dxa"/>
        </w:trPr>
        <w:tc>
          <w:tcPr>
            <w:tcW w:w="0" w:type="auto"/>
            <w:vAlign w:val="center"/>
            <w:hideMark/>
          </w:tcPr>
          <w:p w14:paraId="3E2E662D" w14:textId="5C8B0D92" w:rsidR="00BE2ECF" w:rsidRPr="00BE2ECF" w:rsidRDefault="00BE2ECF" w:rsidP="00BE2ECF">
            <w:pPr>
              <w:rPr>
                <w:sz w:val="20"/>
                <w:szCs w:val="20"/>
              </w:rPr>
            </w:pPr>
            <w:r>
              <w:rPr>
                <w:sz w:val="20"/>
                <w:szCs w:val="20"/>
              </w:rPr>
              <w:t>Mixed</w:t>
            </w:r>
          </w:p>
        </w:tc>
        <w:tc>
          <w:tcPr>
            <w:tcW w:w="0" w:type="auto"/>
            <w:vAlign w:val="center"/>
            <w:hideMark/>
          </w:tcPr>
          <w:p w14:paraId="15129482" w14:textId="263C2D3C" w:rsidR="00BE2ECF" w:rsidRPr="00BE2ECF" w:rsidRDefault="00BE2ECF" w:rsidP="00BE2ECF">
            <w:pPr>
              <w:rPr>
                <w:sz w:val="20"/>
                <w:szCs w:val="20"/>
              </w:rPr>
            </w:pPr>
            <w:r>
              <w:rPr>
                <w:sz w:val="20"/>
                <w:szCs w:val="20"/>
              </w:rPr>
              <w:t>1</w:t>
            </w:r>
          </w:p>
        </w:tc>
      </w:tr>
      <w:tr w:rsidR="00BE2ECF" w:rsidRPr="00BE2ECF" w14:paraId="1724C0CE" w14:textId="77777777" w:rsidTr="00BE2ECF">
        <w:trPr>
          <w:tblCellSpacing w:w="15" w:type="dxa"/>
        </w:trPr>
        <w:tc>
          <w:tcPr>
            <w:tcW w:w="0" w:type="auto"/>
            <w:vAlign w:val="center"/>
            <w:hideMark/>
          </w:tcPr>
          <w:p w14:paraId="6B10DA5D" w14:textId="78056185" w:rsidR="00BE2ECF" w:rsidRPr="00BE2ECF" w:rsidRDefault="00BE2ECF" w:rsidP="00BE2ECF">
            <w:pPr>
              <w:rPr>
                <w:sz w:val="20"/>
                <w:szCs w:val="20"/>
              </w:rPr>
            </w:pPr>
            <w:r w:rsidRPr="00BE2ECF">
              <w:rPr>
                <w:sz w:val="20"/>
                <w:szCs w:val="20"/>
              </w:rPr>
              <w:t>Info</w:t>
            </w:r>
          </w:p>
        </w:tc>
        <w:tc>
          <w:tcPr>
            <w:tcW w:w="0" w:type="auto"/>
            <w:vAlign w:val="center"/>
            <w:hideMark/>
          </w:tcPr>
          <w:p w14:paraId="00960AB0" w14:textId="34237E26" w:rsidR="00BE2ECF" w:rsidRPr="00BE2ECF" w:rsidRDefault="00BE2ECF" w:rsidP="00BE2ECF">
            <w:pPr>
              <w:rPr>
                <w:sz w:val="20"/>
                <w:szCs w:val="20"/>
              </w:rPr>
            </w:pPr>
            <w:r>
              <w:rPr>
                <w:sz w:val="20"/>
                <w:szCs w:val="20"/>
              </w:rPr>
              <w:t>24</w:t>
            </w:r>
          </w:p>
        </w:tc>
      </w:tr>
    </w:tbl>
    <w:p w14:paraId="59DC9CF6" w14:textId="77777777" w:rsidR="00BE2ECF" w:rsidRPr="00BE2ECF" w:rsidRDefault="00BE2ECF" w:rsidP="00BE2ECF">
      <w:pPr>
        <w:pStyle w:val="ListParagraph"/>
        <w:rPr>
          <w:b/>
          <w:bCs/>
          <w:sz w:val="28"/>
          <w:szCs w:val="28"/>
        </w:rPr>
      </w:pPr>
    </w:p>
    <w:p w14:paraId="6E2A62EE" w14:textId="77777777" w:rsidR="00BE2ECF" w:rsidRPr="00BE2ECF" w:rsidRDefault="00BE2ECF" w:rsidP="00BE2ECF">
      <w:pPr>
        <w:rPr>
          <w:sz w:val="20"/>
          <w:szCs w:val="20"/>
        </w:rPr>
      </w:pPr>
    </w:p>
    <w:p w14:paraId="395D92FC" w14:textId="77777777" w:rsidR="001B2D66" w:rsidRDefault="001B2D66"/>
    <w:p w14:paraId="2B46BE5A" w14:textId="77777777" w:rsidR="00BE2ECF" w:rsidRDefault="00BE2ECF"/>
    <w:p w14:paraId="4E513E9A" w14:textId="77777777" w:rsidR="00BE2ECF" w:rsidRDefault="00BE2ECF"/>
    <w:p w14:paraId="09A798A8" w14:textId="77777777" w:rsidR="00BE2ECF" w:rsidRDefault="00BE2ECF"/>
    <w:p w14:paraId="5021B730" w14:textId="77777777" w:rsidR="00BE2ECF" w:rsidRDefault="00BE2ECF"/>
    <w:p w14:paraId="460A7BA2" w14:textId="77777777" w:rsidR="00BE2ECF" w:rsidRDefault="00BE2ECF"/>
    <w:p w14:paraId="4ED5221D" w14:textId="77777777" w:rsidR="00BE2ECF" w:rsidRDefault="00BE2ECF"/>
    <w:p w14:paraId="0A646840" w14:textId="53423134" w:rsidR="00BE2ECF" w:rsidRDefault="00BE2ECF" w:rsidP="00BE2ECF">
      <w:pPr>
        <w:pStyle w:val="ListParagraph"/>
        <w:numPr>
          <w:ilvl w:val="0"/>
          <w:numId w:val="1"/>
        </w:numPr>
        <w:rPr>
          <w:b/>
          <w:bCs/>
          <w:sz w:val="28"/>
          <w:szCs w:val="28"/>
        </w:rPr>
      </w:pPr>
      <w:r w:rsidRPr="00BE2ECF">
        <w:rPr>
          <w:b/>
          <w:bCs/>
          <w:sz w:val="28"/>
          <w:szCs w:val="28"/>
        </w:rPr>
        <w:t>Top Critical Vulnerabilities</w:t>
      </w:r>
      <w:r w:rsidRPr="00BE2ECF">
        <w:rPr>
          <w:b/>
          <w:bCs/>
          <w:sz w:val="28"/>
          <w:szCs w:val="28"/>
        </w:rPr>
        <w:t>:</w:t>
      </w:r>
    </w:p>
    <w:p w14:paraId="4F4557AC" w14:textId="77777777" w:rsidR="00BE2ECF" w:rsidRPr="00BE2ECF" w:rsidRDefault="00BE2ECF" w:rsidP="00BE2ECF">
      <w:pPr>
        <w:pStyle w:val="ListParagraph"/>
        <w:rPr>
          <w:b/>
          <w:bCs/>
          <w:sz w:val="28"/>
          <w:szCs w:val="28"/>
        </w:rPr>
      </w:pPr>
    </w:p>
    <w:p w14:paraId="60D222DB" w14:textId="5A28594A" w:rsidR="00731535" w:rsidRPr="00731535" w:rsidRDefault="00731535" w:rsidP="00731535">
      <w:pPr>
        <w:rPr>
          <w:b/>
          <w:bCs/>
          <w:sz w:val="22"/>
          <w:szCs w:val="22"/>
        </w:rPr>
      </w:pPr>
      <w:r>
        <w:rPr>
          <w:b/>
          <w:bCs/>
          <w:sz w:val="22"/>
          <w:szCs w:val="22"/>
        </w:rPr>
        <w:t xml:space="preserve">        </w:t>
      </w:r>
      <w:r w:rsidR="00BE2ECF" w:rsidRPr="00731535">
        <w:rPr>
          <w:b/>
          <w:bCs/>
          <w:sz w:val="22"/>
          <w:szCs w:val="22"/>
        </w:rPr>
        <w:t>1.</w:t>
      </w:r>
      <w:r w:rsidRPr="00731535">
        <w:rPr>
          <w:b/>
          <w:bCs/>
          <w:sz w:val="22"/>
          <w:szCs w:val="22"/>
        </w:rPr>
        <w:t xml:space="preserve"> </w:t>
      </w:r>
      <w:r w:rsidR="00BE2ECF" w:rsidRPr="00731535">
        <w:rPr>
          <w:b/>
          <w:bCs/>
          <w:sz w:val="22"/>
          <w:szCs w:val="22"/>
        </w:rPr>
        <w:t xml:space="preserve">Vulnerability 1: </w:t>
      </w:r>
      <w:r w:rsidRPr="00731535">
        <w:rPr>
          <w:b/>
          <w:bCs/>
          <w:sz w:val="22"/>
          <w:szCs w:val="22"/>
        </w:rPr>
        <w:t>SMB Signing not required</w:t>
      </w:r>
      <w:r w:rsidRPr="00731535">
        <w:rPr>
          <w:b/>
          <w:bCs/>
          <w:sz w:val="22"/>
          <w:szCs w:val="22"/>
        </w:rPr>
        <w:t>:</w:t>
      </w:r>
    </w:p>
    <w:p w14:paraId="306446F5" w14:textId="6B0B9BD6" w:rsidR="00731535" w:rsidRPr="00731535" w:rsidRDefault="00731535" w:rsidP="00731535">
      <w:pPr>
        <w:pStyle w:val="NormalWeb"/>
        <w:numPr>
          <w:ilvl w:val="0"/>
          <w:numId w:val="7"/>
        </w:numPr>
        <w:rPr>
          <w:sz w:val="20"/>
          <w:szCs w:val="20"/>
        </w:rPr>
      </w:pPr>
      <w:r w:rsidRPr="00731535">
        <w:rPr>
          <w:rStyle w:val="Strong"/>
          <w:rFonts w:eastAsiaTheme="majorEastAsia"/>
          <w:sz w:val="20"/>
          <w:szCs w:val="20"/>
        </w:rPr>
        <w:t>Severity</w:t>
      </w:r>
      <w:r w:rsidRPr="00731535">
        <w:rPr>
          <w:sz w:val="20"/>
          <w:szCs w:val="20"/>
        </w:rPr>
        <w:t xml:space="preserve">: </w:t>
      </w:r>
      <w:r>
        <w:rPr>
          <w:sz w:val="20"/>
          <w:szCs w:val="20"/>
        </w:rPr>
        <w:t>Medium</w:t>
      </w:r>
    </w:p>
    <w:p w14:paraId="1203036B" w14:textId="30C0C374" w:rsidR="00731535" w:rsidRPr="00731535" w:rsidRDefault="00731535" w:rsidP="00731535">
      <w:pPr>
        <w:pStyle w:val="NormalWeb"/>
        <w:numPr>
          <w:ilvl w:val="0"/>
          <w:numId w:val="7"/>
        </w:numPr>
        <w:rPr>
          <w:sz w:val="20"/>
          <w:szCs w:val="20"/>
        </w:rPr>
      </w:pPr>
      <w:r w:rsidRPr="00731535">
        <w:rPr>
          <w:rStyle w:val="Strong"/>
          <w:rFonts w:eastAsiaTheme="majorEastAsia"/>
          <w:sz w:val="20"/>
          <w:szCs w:val="20"/>
        </w:rPr>
        <w:t>CVE ID</w:t>
      </w:r>
      <w:r w:rsidRPr="00731535">
        <w:rPr>
          <w:sz w:val="20"/>
          <w:szCs w:val="20"/>
        </w:rPr>
        <w:t xml:space="preserve">: </w:t>
      </w:r>
      <w:r w:rsidR="00091CBC" w:rsidRPr="00091CBC">
        <w:rPr>
          <w:sz w:val="20"/>
          <w:szCs w:val="20"/>
        </w:rPr>
        <w:t>57608</w:t>
      </w:r>
    </w:p>
    <w:p w14:paraId="18A6CE41" w14:textId="2F404C80" w:rsidR="00731535" w:rsidRPr="00731535" w:rsidRDefault="00731535" w:rsidP="00731535">
      <w:pPr>
        <w:pStyle w:val="NormalWeb"/>
        <w:numPr>
          <w:ilvl w:val="0"/>
          <w:numId w:val="7"/>
        </w:numPr>
        <w:rPr>
          <w:sz w:val="20"/>
          <w:szCs w:val="20"/>
        </w:rPr>
      </w:pPr>
      <w:r w:rsidRPr="00731535">
        <w:rPr>
          <w:rStyle w:val="Strong"/>
          <w:rFonts w:eastAsiaTheme="majorEastAsia"/>
          <w:sz w:val="20"/>
          <w:szCs w:val="20"/>
        </w:rPr>
        <w:t>Description</w:t>
      </w:r>
      <w:r w:rsidRPr="00731535">
        <w:rPr>
          <w:sz w:val="20"/>
          <w:szCs w:val="20"/>
        </w:rPr>
        <w:t xml:space="preserve">: </w:t>
      </w:r>
      <w:r w:rsidR="00091CBC" w:rsidRPr="00091CBC">
        <w:rPr>
          <w:sz w:val="20"/>
          <w:szCs w:val="20"/>
        </w:rPr>
        <w:t>Signing is not required on the remote SMB server. An unauthenticated, remote attacker can exploit this to conduct man-in-the-middle attacks against the SMB server.</w:t>
      </w:r>
    </w:p>
    <w:p w14:paraId="0CCA9CAE" w14:textId="62D84942" w:rsidR="00091CBC" w:rsidRPr="00091CBC" w:rsidRDefault="00731535" w:rsidP="00091CBC">
      <w:pPr>
        <w:pStyle w:val="NormalWeb"/>
        <w:numPr>
          <w:ilvl w:val="0"/>
          <w:numId w:val="7"/>
        </w:numPr>
        <w:rPr>
          <w:sz w:val="20"/>
          <w:szCs w:val="20"/>
        </w:rPr>
      </w:pPr>
      <w:r w:rsidRPr="00731535">
        <w:rPr>
          <w:rStyle w:val="Strong"/>
          <w:rFonts w:eastAsiaTheme="majorEastAsia"/>
          <w:sz w:val="20"/>
          <w:szCs w:val="20"/>
        </w:rPr>
        <w:t>Impact</w:t>
      </w:r>
      <w:r w:rsidR="00091CBC">
        <w:rPr>
          <w:sz w:val="20"/>
          <w:szCs w:val="20"/>
        </w:rPr>
        <w:t>:</w:t>
      </w:r>
      <w:r w:rsidR="00091CBC" w:rsidRPr="00091CBC">
        <w:rPr>
          <w:rFonts w:asciiTheme="minorHAnsi" w:eastAsiaTheme="minorHAnsi" w:hAnsiTheme="minorHAnsi" w:cstheme="minorBidi"/>
          <w:kern w:val="2"/>
          <w:lang w:eastAsia="en-US"/>
          <w14:ligatures w14:val="standardContextual"/>
        </w:rPr>
        <w:t xml:space="preserve"> </w:t>
      </w:r>
      <w:r w:rsidR="00091CBC" w:rsidRPr="00091CBC">
        <w:rPr>
          <w:b/>
          <w:bCs/>
          <w:sz w:val="20"/>
          <w:szCs w:val="20"/>
        </w:rPr>
        <w:t>Man-in-the-Middle</w:t>
      </w:r>
      <w:r w:rsidR="00091CBC" w:rsidRPr="00091CBC">
        <w:rPr>
          <w:b/>
          <w:bCs/>
          <w:sz w:val="20"/>
          <w:szCs w:val="20"/>
        </w:rPr>
        <w:t>,</w:t>
      </w:r>
      <w:r w:rsidR="00091CBC" w:rsidRPr="00091CBC">
        <w:rPr>
          <w:rFonts w:asciiTheme="minorHAnsi" w:eastAsiaTheme="minorHAnsi" w:hAnsiTheme="minorHAnsi" w:cstheme="minorBidi"/>
          <w:b/>
          <w:bCs/>
          <w:kern w:val="2"/>
          <w:lang w:eastAsia="en-US"/>
          <w14:ligatures w14:val="standardContextual"/>
        </w:rPr>
        <w:t xml:space="preserve"> </w:t>
      </w:r>
      <w:r w:rsidR="00091CBC" w:rsidRPr="00091CBC">
        <w:rPr>
          <w:b/>
          <w:bCs/>
          <w:sz w:val="20"/>
          <w:szCs w:val="20"/>
        </w:rPr>
        <w:t>Steal sensitive data</w:t>
      </w:r>
      <w:r w:rsidR="00091CBC">
        <w:rPr>
          <w:b/>
          <w:bCs/>
          <w:sz w:val="20"/>
          <w:szCs w:val="20"/>
        </w:rPr>
        <w:t>,</w:t>
      </w:r>
      <w:r w:rsidR="00091CBC" w:rsidRPr="00091CBC">
        <w:rPr>
          <w:rFonts w:asciiTheme="minorHAnsi" w:eastAsiaTheme="minorHAnsi" w:hAnsiTheme="minorHAnsi" w:cstheme="minorBidi"/>
          <w:b/>
          <w:bCs/>
          <w:kern w:val="2"/>
          <w:lang w:eastAsia="en-US"/>
          <w14:ligatures w14:val="standardContextual"/>
        </w:rPr>
        <w:t xml:space="preserve"> </w:t>
      </w:r>
      <w:r w:rsidR="00091CBC" w:rsidRPr="00091CBC">
        <w:rPr>
          <w:b/>
          <w:bCs/>
          <w:sz w:val="20"/>
          <w:szCs w:val="20"/>
        </w:rPr>
        <w:t>tamper with SMB packets</w:t>
      </w:r>
    </w:p>
    <w:p w14:paraId="0C767445" w14:textId="0B455675" w:rsidR="00731535" w:rsidRPr="00091CBC" w:rsidRDefault="00731535" w:rsidP="00091CBC">
      <w:pPr>
        <w:pStyle w:val="NormalWeb"/>
        <w:numPr>
          <w:ilvl w:val="0"/>
          <w:numId w:val="7"/>
        </w:numPr>
        <w:rPr>
          <w:sz w:val="20"/>
          <w:szCs w:val="20"/>
        </w:rPr>
      </w:pPr>
      <w:r w:rsidRPr="00731535">
        <w:rPr>
          <w:rStyle w:val="Strong"/>
          <w:rFonts w:eastAsiaTheme="majorEastAsia"/>
          <w:sz w:val="20"/>
          <w:szCs w:val="20"/>
        </w:rPr>
        <w:t>Solution</w:t>
      </w:r>
      <w:r w:rsidRPr="00731535">
        <w:rPr>
          <w:sz w:val="20"/>
          <w:szCs w:val="20"/>
        </w:rPr>
        <w:t>:</w:t>
      </w:r>
      <w:r w:rsidR="00091CBC" w:rsidRPr="00091CBC">
        <w:rPr>
          <w:rFonts w:asciiTheme="minorHAnsi" w:eastAsiaTheme="minorHAnsi" w:hAnsiTheme="minorHAnsi" w:cstheme="minorBidi"/>
          <w:kern w:val="2"/>
          <w:lang w:eastAsia="en-US"/>
          <w14:ligatures w14:val="standardContextual"/>
        </w:rPr>
        <w:t xml:space="preserve"> </w:t>
      </w:r>
      <w:r w:rsidR="00091CBC" w:rsidRPr="00091CBC">
        <w:rPr>
          <w:sz w:val="20"/>
          <w:szCs w:val="20"/>
        </w:rPr>
        <w:t>Enforce message signing in the host's configuration. On Windows, this is found in the policy setting 'Microsoft network server: Digitally sign communications (always)'. On Samba, the setting is called 'server signing'. See the 'see also' links for further details</w:t>
      </w:r>
      <w:r w:rsidRPr="00091CBC">
        <w:rPr>
          <w:sz w:val="20"/>
          <w:szCs w:val="20"/>
        </w:rPr>
        <w:t>.</w:t>
      </w:r>
    </w:p>
    <w:p w14:paraId="375734C3" w14:textId="232CF308" w:rsidR="00731535" w:rsidRPr="00091CBC" w:rsidRDefault="00731535" w:rsidP="00731535">
      <w:pPr>
        <w:pStyle w:val="NormalWeb"/>
        <w:numPr>
          <w:ilvl w:val="0"/>
          <w:numId w:val="7"/>
        </w:numPr>
        <w:rPr>
          <w:sz w:val="20"/>
          <w:szCs w:val="20"/>
        </w:rPr>
      </w:pPr>
      <w:r w:rsidRPr="00091CBC">
        <w:rPr>
          <w:rStyle w:val="Strong"/>
          <w:rFonts w:eastAsiaTheme="majorEastAsia"/>
          <w:sz w:val="20"/>
          <w:szCs w:val="20"/>
        </w:rPr>
        <w:t>Affected Port</w:t>
      </w:r>
      <w:r w:rsidRPr="00091CBC">
        <w:rPr>
          <w:sz w:val="20"/>
          <w:szCs w:val="20"/>
        </w:rPr>
        <w:t xml:space="preserve">: </w:t>
      </w:r>
      <w:r w:rsidR="00091CBC" w:rsidRPr="00091CBC">
        <w:rPr>
          <w:sz w:val="20"/>
          <w:szCs w:val="20"/>
        </w:rPr>
        <w:t xml:space="preserve">445 / </w:t>
      </w:r>
      <w:proofErr w:type="spellStart"/>
      <w:r w:rsidR="00091CBC" w:rsidRPr="00091CBC">
        <w:rPr>
          <w:sz w:val="20"/>
          <w:szCs w:val="20"/>
        </w:rPr>
        <w:t>tcp</w:t>
      </w:r>
      <w:proofErr w:type="spellEnd"/>
      <w:r w:rsidR="00091CBC" w:rsidRPr="00091CBC">
        <w:rPr>
          <w:sz w:val="20"/>
          <w:szCs w:val="20"/>
        </w:rPr>
        <w:t xml:space="preserve"> / </w:t>
      </w:r>
      <w:proofErr w:type="spellStart"/>
      <w:r w:rsidR="00091CBC" w:rsidRPr="00091CBC">
        <w:rPr>
          <w:sz w:val="20"/>
          <w:szCs w:val="20"/>
        </w:rPr>
        <w:t>cifs</w:t>
      </w:r>
      <w:proofErr w:type="spellEnd"/>
    </w:p>
    <w:p w14:paraId="226DCDA3" w14:textId="5C3290E2" w:rsidR="00091CBC" w:rsidRPr="00C014CA" w:rsidRDefault="00C014CA" w:rsidP="00C014CA">
      <w:pPr>
        <w:pStyle w:val="NormalWeb"/>
        <w:ind w:left="360"/>
        <w:rPr>
          <w:rFonts w:ascii="Aptos" w:hAnsi="Aptos"/>
          <w:b/>
          <w:bCs/>
          <w:sz w:val="22"/>
          <w:szCs w:val="22"/>
        </w:rPr>
      </w:pPr>
      <w:r w:rsidRPr="00C014CA">
        <w:rPr>
          <w:rFonts w:ascii="Aptos" w:eastAsiaTheme="majorEastAsia" w:hAnsi="Aptos"/>
          <w:b/>
          <w:bCs/>
          <w:sz w:val="22"/>
          <w:szCs w:val="22"/>
        </w:rPr>
        <w:t>2.</w:t>
      </w:r>
      <w:r w:rsidR="00091CBC" w:rsidRPr="00C014CA">
        <w:rPr>
          <w:rFonts w:ascii="Aptos" w:eastAsiaTheme="majorEastAsia" w:hAnsi="Aptos"/>
          <w:b/>
          <w:bCs/>
          <w:sz w:val="22"/>
          <w:szCs w:val="22"/>
        </w:rPr>
        <w:t xml:space="preserve">Vulnerability </w:t>
      </w:r>
      <w:r w:rsidR="00091CBC" w:rsidRPr="00C014CA">
        <w:rPr>
          <w:rFonts w:ascii="Aptos" w:eastAsiaTheme="majorEastAsia" w:hAnsi="Aptos"/>
          <w:b/>
          <w:bCs/>
          <w:sz w:val="22"/>
          <w:szCs w:val="22"/>
        </w:rPr>
        <w:t>2</w:t>
      </w:r>
      <w:r w:rsidR="00091CBC" w:rsidRPr="00C014CA">
        <w:rPr>
          <w:rFonts w:ascii="Aptos" w:eastAsiaTheme="majorEastAsia" w:hAnsi="Aptos"/>
          <w:b/>
          <w:bCs/>
          <w:sz w:val="22"/>
          <w:szCs w:val="22"/>
        </w:rPr>
        <w:t>:</w:t>
      </w:r>
      <w:r w:rsidRPr="00C014CA">
        <w:rPr>
          <w:b/>
          <w:bCs/>
          <w:i/>
          <w:iCs/>
          <w:sz w:val="22"/>
          <w:szCs w:val="22"/>
        </w:rPr>
        <w:t xml:space="preserve"> </w:t>
      </w:r>
      <w:r w:rsidRPr="00C014CA">
        <w:rPr>
          <w:rFonts w:ascii="Aptos" w:hAnsi="Aptos"/>
          <w:b/>
          <w:bCs/>
          <w:sz w:val="22"/>
          <w:szCs w:val="22"/>
        </w:rPr>
        <w:t>SSL Certificate Cannot Be Trusted</w:t>
      </w:r>
      <w:r w:rsidR="00091CBC" w:rsidRPr="00C014CA">
        <w:rPr>
          <w:rFonts w:ascii="Aptos" w:hAnsi="Aptos"/>
          <w:b/>
          <w:bCs/>
          <w:sz w:val="22"/>
          <w:szCs w:val="22"/>
        </w:rPr>
        <w:t>:</w:t>
      </w:r>
    </w:p>
    <w:p w14:paraId="1BBBDB27" w14:textId="77777777" w:rsidR="00091CBC" w:rsidRPr="00731535" w:rsidRDefault="00091CBC" w:rsidP="00091CBC">
      <w:pPr>
        <w:pStyle w:val="NormalWeb"/>
        <w:numPr>
          <w:ilvl w:val="0"/>
          <w:numId w:val="8"/>
        </w:numPr>
        <w:rPr>
          <w:sz w:val="20"/>
          <w:szCs w:val="20"/>
        </w:rPr>
      </w:pPr>
      <w:r w:rsidRPr="00731535">
        <w:rPr>
          <w:rStyle w:val="Strong"/>
          <w:rFonts w:eastAsiaTheme="majorEastAsia"/>
          <w:sz w:val="20"/>
          <w:szCs w:val="20"/>
        </w:rPr>
        <w:t>Severity</w:t>
      </w:r>
      <w:r w:rsidRPr="00731535">
        <w:rPr>
          <w:sz w:val="20"/>
          <w:szCs w:val="20"/>
        </w:rPr>
        <w:t xml:space="preserve">: </w:t>
      </w:r>
      <w:r>
        <w:rPr>
          <w:sz w:val="20"/>
          <w:szCs w:val="20"/>
        </w:rPr>
        <w:t>Medium</w:t>
      </w:r>
    </w:p>
    <w:p w14:paraId="10D32D87" w14:textId="4BFEAA22" w:rsidR="00091CBC" w:rsidRPr="00731535" w:rsidRDefault="00091CBC" w:rsidP="00091CBC">
      <w:pPr>
        <w:pStyle w:val="NormalWeb"/>
        <w:numPr>
          <w:ilvl w:val="0"/>
          <w:numId w:val="8"/>
        </w:numPr>
        <w:rPr>
          <w:sz w:val="20"/>
          <w:szCs w:val="20"/>
        </w:rPr>
      </w:pPr>
      <w:r w:rsidRPr="00731535">
        <w:rPr>
          <w:rStyle w:val="Strong"/>
          <w:rFonts w:eastAsiaTheme="majorEastAsia"/>
          <w:sz w:val="20"/>
          <w:szCs w:val="20"/>
        </w:rPr>
        <w:t>CVE ID</w:t>
      </w:r>
      <w:r w:rsidRPr="00731535">
        <w:rPr>
          <w:sz w:val="20"/>
          <w:szCs w:val="20"/>
        </w:rPr>
        <w:t xml:space="preserve">: </w:t>
      </w:r>
      <w:r w:rsidR="00C014CA" w:rsidRPr="00C014CA">
        <w:rPr>
          <w:sz w:val="20"/>
          <w:szCs w:val="20"/>
        </w:rPr>
        <w:t>51192</w:t>
      </w:r>
    </w:p>
    <w:p w14:paraId="10865D07" w14:textId="092F7314" w:rsidR="00091CBC" w:rsidRPr="00731535" w:rsidRDefault="00091CBC" w:rsidP="00091CBC">
      <w:pPr>
        <w:pStyle w:val="NormalWeb"/>
        <w:numPr>
          <w:ilvl w:val="0"/>
          <w:numId w:val="8"/>
        </w:numPr>
        <w:rPr>
          <w:sz w:val="20"/>
          <w:szCs w:val="20"/>
        </w:rPr>
      </w:pPr>
      <w:r w:rsidRPr="00731535">
        <w:rPr>
          <w:rStyle w:val="Strong"/>
          <w:rFonts w:eastAsiaTheme="majorEastAsia"/>
          <w:sz w:val="20"/>
          <w:szCs w:val="20"/>
        </w:rPr>
        <w:t>Description</w:t>
      </w:r>
      <w:r w:rsidRPr="00731535">
        <w:rPr>
          <w:sz w:val="20"/>
          <w:szCs w:val="20"/>
        </w:rPr>
        <w:t xml:space="preserve">: </w:t>
      </w:r>
      <w:r w:rsidR="00C014CA" w:rsidRPr="00C014CA">
        <w:rPr>
          <w:sz w:val="20"/>
          <w:szCs w:val="20"/>
        </w:rPr>
        <w:t xml:space="preserve">The server's X.509 certificate cannot be trusted. This situation can occur in three different ways, in which the chain of trust can be broken, as stated </w:t>
      </w:r>
      <w:proofErr w:type="gramStart"/>
      <w:r w:rsidR="00C014CA" w:rsidRPr="00C014CA">
        <w:rPr>
          <w:sz w:val="20"/>
          <w:szCs w:val="20"/>
        </w:rPr>
        <w:t>below :</w:t>
      </w:r>
      <w:proofErr w:type="gramEnd"/>
      <w:r w:rsidR="00C014CA" w:rsidRPr="00C014CA">
        <w:rPr>
          <w:sz w:val="20"/>
          <w:szCs w:val="20"/>
        </w:rPr>
        <w:br/>
      </w:r>
      <w:r w:rsidR="00C014CA" w:rsidRPr="00C014CA">
        <w:rPr>
          <w:sz w:val="20"/>
          <w:szCs w:val="20"/>
        </w:rPr>
        <w:br/>
        <w:t>- First, the top of the certificate chain sent by the server might not be descended from a known public certificate authority. This can occur either when the top of the chain is an unrecognized, self-signed certificate, or when intermediate certificates are missing that would connect the top of the certificate chain to a known public certificate authority.</w:t>
      </w:r>
      <w:r w:rsidR="00C014CA" w:rsidRPr="00C014CA">
        <w:rPr>
          <w:sz w:val="20"/>
          <w:szCs w:val="20"/>
        </w:rPr>
        <w:br/>
      </w:r>
      <w:r w:rsidR="00C014CA" w:rsidRPr="00C014CA">
        <w:rPr>
          <w:sz w:val="20"/>
          <w:szCs w:val="20"/>
        </w:rPr>
        <w:br/>
      </w:r>
      <w:r w:rsidR="00C014CA" w:rsidRPr="00C014CA">
        <w:rPr>
          <w:sz w:val="20"/>
          <w:szCs w:val="20"/>
        </w:rPr>
        <w:lastRenderedPageBreak/>
        <w:t>- Second, the certificate chain may contain a certificate that is not valid at the time of the scan. This can occur either when the scan occurs before one of the certificate's '</w:t>
      </w:r>
      <w:proofErr w:type="spellStart"/>
      <w:r w:rsidR="00C014CA" w:rsidRPr="00C014CA">
        <w:rPr>
          <w:sz w:val="20"/>
          <w:szCs w:val="20"/>
        </w:rPr>
        <w:t>notBefore</w:t>
      </w:r>
      <w:proofErr w:type="spellEnd"/>
      <w:r w:rsidR="00C014CA" w:rsidRPr="00C014CA">
        <w:rPr>
          <w:sz w:val="20"/>
          <w:szCs w:val="20"/>
        </w:rPr>
        <w:t>' dates, or after one of the certificate's '</w:t>
      </w:r>
      <w:proofErr w:type="spellStart"/>
      <w:r w:rsidR="00C014CA" w:rsidRPr="00C014CA">
        <w:rPr>
          <w:sz w:val="20"/>
          <w:szCs w:val="20"/>
        </w:rPr>
        <w:t>notAfter</w:t>
      </w:r>
      <w:proofErr w:type="spellEnd"/>
      <w:r w:rsidR="00C014CA" w:rsidRPr="00C014CA">
        <w:rPr>
          <w:sz w:val="20"/>
          <w:szCs w:val="20"/>
        </w:rPr>
        <w:t>' dates.</w:t>
      </w:r>
      <w:r w:rsidR="00C014CA" w:rsidRPr="00C014CA">
        <w:rPr>
          <w:sz w:val="20"/>
          <w:szCs w:val="20"/>
        </w:rPr>
        <w:br/>
      </w:r>
      <w:r w:rsidR="00C014CA" w:rsidRPr="00C014CA">
        <w:rPr>
          <w:sz w:val="20"/>
          <w:szCs w:val="20"/>
        </w:rPr>
        <w:br/>
        <w:t>- Third, the certificate chain may contain a signature that either didn't match the certificate's information or could not be verified. Bad signatures can be fixed by getting the certificate with the bad signature to be re-signed by its issuer. Signatures that could not be verified are the result of the certificate's issuer using a signing algorithm that Nessus either does not support or does not recognize.</w:t>
      </w:r>
      <w:r w:rsidR="00C014CA" w:rsidRPr="00C014CA">
        <w:rPr>
          <w:sz w:val="20"/>
          <w:szCs w:val="20"/>
        </w:rPr>
        <w:br/>
      </w:r>
      <w:r w:rsidR="00C014CA" w:rsidRPr="00C014CA">
        <w:rPr>
          <w:sz w:val="20"/>
          <w:szCs w:val="20"/>
        </w:rPr>
        <w:br/>
        <w:t>If the remote host is a public host in production, any break in the chain makes it more difficult for users to verify the authenticity and identity of the web server. This could make it easier to carry out man-in-the-middle attacks against the remote host.</w:t>
      </w:r>
    </w:p>
    <w:p w14:paraId="0DAB85E0" w14:textId="69CE1C49" w:rsidR="00091CBC" w:rsidRPr="00C014CA" w:rsidRDefault="00091CBC" w:rsidP="00091CBC">
      <w:pPr>
        <w:pStyle w:val="NormalWeb"/>
        <w:numPr>
          <w:ilvl w:val="0"/>
          <w:numId w:val="8"/>
        </w:numPr>
        <w:rPr>
          <w:sz w:val="20"/>
          <w:szCs w:val="20"/>
        </w:rPr>
      </w:pPr>
      <w:proofErr w:type="spellStart"/>
      <w:proofErr w:type="gramStart"/>
      <w:r w:rsidRPr="00731535">
        <w:rPr>
          <w:rStyle w:val="Strong"/>
          <w:rFonts w:eastAsiaTheme="majorEastAsia"/>
          <w:sz w:val="20"/>
          <w:szCs w:val="20"/>
        </w:rPr>
        <w:t>Impact</w:t>
      </w:r>
      <w:r w:rsidR="00C014CA">
        <w:rPr>
          <w:rStyle w:val="Strong"/>
          <w:rFonts w:eastAsiaTheme="majorEastAsia"/>
          <w:sz w:val="20"/>
          <w:szCs w:val="20"/>
        </w:rPr>
        <w:t>:</w:t>
      </w:r>
      <w:r w:rsidR="00C014CA" w:rsidRPr="00C014CA">
        <w:rPr>
          <w:rFonts w:eastAsiaTheme="majorEastAsia"/>
          <w:sz w:val="20"/>
          <w:szCs w:val="20"/>
        </w:rPr>
        <w:t>Lack</w:t>
      </w:r>
      <w:proofErr w:type="spellEnd"/>
      <w:proofErr w:type="gramEnd"/>
      <w:r w:rsidR="00C014CA" w:rsidRPr="00C014CA">
        <w:rPr>
          <w:rFonts w:eastAsiaTheme="majorEastAsia"/>
          <w:sz w:val="20"/>
          <w:szCs w:val="20"/>
        </w:rPr>
        <w:t xml:space="preserve"> of Trust</w:t>
      </w:r>
      <w:r w:rsidR="00C014CA" w:rsidRPr="00C014CA">
        <w:rPr>
          <w:rFonts w:eastAsiaTheme="majorEastAsia"/>
          <w:sz w:val="20"/>
          <w:szCs w:val="20"/>
        </w:rPr>
        <w:t>,</w:t>
      </w:r>
      <w:r w:rsidR="00C014CA" w:rsidRPr="00C014CA">
        <w:rPr>
          <w:rFonts w:asciiTheme="minorHAnsi" w:eastAsiaTheme="minorHAnsi" w:hAnsiTheme="minorHAnsi" w:cstheme="minorBidi"/>
          <w:kern w:val="2"/>
          <w:lang w:eastAsia="en-US"/>
          <w14:ligatures w14:val="standardContextual"/>
        </w:rPr>
        <w:t xml:space="preserve"> </w:t>
      </w:r>
      <w:r w:rsidR="00C014CA" w:rsidRPr="00C014CA">
        <w:rPr>
          <w:rFonts w:eastAsiaTheme="majorEastAsia"/>
          <w:sz w:val="20"/>
          <w:szCs w:val="20"/>
        </w:rPr>
        <w:t>Susceptibility to MITM Attacks</w:t>
      </w:r>
    </w:p>
    <w:p w14:paraId="083B9BEC" w14:textId="212362BD" w:rsidR="00091CBC" w:rsidRPr="00C014CA" w:rsidRDefault="00091CBC" w:rsidP="00C014CA">
      <w:pPr>
        <w:pStyle w:val="NormalWeb"/>
        <w:numPr>
          <w:ilvl w:val="0"/>
          <w:numId w:val="8"/>
        </w:numPr>
        <w:rPr>
          <w:sz w:val="20"/>
          <w:szCs w:val="20"/>
        </w:rPr>
      </w:pPr>
      <w:r w:rsidRPr="00731535">
        <w:rPr>
          <w:rStyle w:val="Strong"/>
          <w:rFonts w:eastAsiaTheme="majorEastAsia"/>
          <w:sz w:val="20"/>
          <w:szCs w:val="20"/>
        </w:rPr>
        <w:t>Solution</w:t>
      </w:r>
      <w:r w:rsidRPr="00731535">
        <w:rPr>
          <w:sz w:val="20"/>
          <w:szCs w:val="20"/>
        </w:rPr>
        <w:t>:</w:t>
      </w:r>
      <w:r w:rsidR="00C014CA" w:rsidRPr="00C014CA">
        <w:t xml:space="preserve"> </w:t>
      </w:r>
      <w:r w:rsidR="00C014CA" w:rsidRPr="00C014CA">
        <w:rPr>
          <w:sz w:val="20"/>
          <w:szCs w:val="20"/>
        </w:rPr>
        <w:t>Purchase or generate a proper SSL certificate for this service.</w:t>
      </w:r>
    </w:p>
    <w:p w14:paraId="720743AB" w14:textId="7CD7A68F" w:rsidR="00091CBC" w:rsidRPr="00C014CA" w:rsidRDefault="00091CBC" w:rsidP="00C014CA">
      <w:pPr>
        <w:pStyle w:val="NormalWeb"/>
        <w:numPr>
          <w:ilvl w:val="0"/>
          <w:numId w:val="8"/>
        </w:numPr>
        <w:rPr>
          <w:sz w:val="20"/>
          <w:szCs w:val="20"/>
        </w:rPr>
      </w:pPr>
      <w:r w:rsidRPr="00731535">
        <w:rPr>
          <w:rStyle w:val="Strong"/>
          <w:rFonts w:eastAsiaTheme="majorEastAsia"/>
          <w:sz w:val="20"/>
          <w:szCs w:val="20"/>
        </w:rPr>
        <w:t>Affected Port</w:t>
      </w:r>
      <w:r w:rsidRPr="00731535">
        <w:rPr>
          <w:sz w:val="20"/>
          <w:szCs w:val="20"/>
        </w:rPr>
        <w:t xml:space="preserve">: </w:t>
      </w:r>
      <w:r w:rsidR="00C014CA" w:rsidRPr="00C014CA">
        <w:rPr>
          <w:sz w:val="20"/>
          <w:szCs w:val="20"/>
        </w:rPr>
        <w:t xml:space="preserve">8834 / </w:t>
      </w:r>
      <w:proofErr w:type="spellStart"/>
      <w:r w:rsidR="00C014CA" w:rsidRPr="00C014CA">
        <w:rPr>
          <w:sz w:val="20"/>
          <w:szCs w:val="20"/>
        </w:rPr>
        <w:t>tcp</w:t>
      </w:r>
      <w:proofErr w:type="spellEnd"/>
      <w:r w:rsidR="00C014CA" w:rsidRPr="00C014CA">
        <w:rPr>
          <w:sz w:val="20"/>
          <w:szCs w:val="20"/>
        </w:rPr>
        <w:t xml:space="preserve"> / www</w:t>
      </w:r>
    </w:p>
    <w:p w14:paraId="233ECA73" w14:textId="77777777" w:rsidR="00091CBC" w:rsidRPr="00091CBC" w:rsidRDefault="00091CBC" w:rsidP="00091CBC">
      <w:pPr>
        <w:pStyle w:val="NormalWeb"/>
        <w:ind w:left="720"/>
        <w:rPr>
          <w:rFonts w:ascii="Aptos" w:hAnsi="Aptos"/>
          <w:sz w:val="20"/>
          <w:szCs w:val="20"/>
        </w:rPr>
      </w:pPr>
    </w:p>
    <w:p w14:paraId="73D034A4" w14:textId="56593E9C" w:rsidR="00731535" w:rsidRDefault="008954E5" w:rsidP="008954E5">
      <w:pPr>
        <w:rPr>
          <w:b/>
          <w:bCs/>
          <w:sz w:val="32"/>
          <w:szCs w:val="32"/>
        </w:rPr>
      </w:pPr>
      <w:r w:rsidRPr="008954E5">
        <w:rPr>
          <w:b/>
          <w:bCs/>
          <w:sz w:val="32"/>
          <w:szCs w:val="32"/>
        </w:rPr>
        <w:t>3.Screenshots:</w:t>
      </w:r>
    </w:p>
    <w:p w14:paraId="4C09A362" w14:textId="073B2F5F" w:rsidR="00731535" w:rsidRPr="008954E5" w:rsidRDefault="008954E5" w:rsidP="008954E5">
      <w:pPr>
        <w:rPr>
          <w:b/>
          <w:bCs/>
          <w:sz w:val="32"/>
          <w:szCs w:val="32"/>
        </w:rPr>
      </w:pPr>
      <w:r>
        <w:rPr>
          <w:b/>
          <w:bCs/>
          <w:noProof/>
          <w:sz w:val="32"/>
          <w:szCs w:val="32"/>
        </w:rPr>
        <w:drawing>
          <wp:inline distT="0" distB="0" distL="0" distR="0" wp14:anchorId="54244EAC" wp14:editId="63CE5619">
            <wp:extent cx="5731510" cy="2837180"/>
            <wp:effectExtent l="0" t="0" r="2540" b="1270"/>
            <wp:docPr id="778350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50140" name="Picture 77835014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37180"/>
                    </a:xfrm>
                    <a:prstGeom prst="rect">
                      <a:avLst/>
                    </a:prstGeom>
                  </pic:spPr>
                </pic:pic>
              </a:graphicData>
            </a:graphic>
          </wp:inline>
        </w:drawing>
      </w:r>
      <w:r>
        <w:rPr>
          <w:b/>
          <w:bCs/>
          <w:noProof/>
          <w:sz w:val="32"/>
          <w:szCs w:val="32"/>
        </w:rPr>
        <w:drawing>
          <wp:inline distT="0" distB="0" distL="0" distR="0" wp14:anchorId="38243D62" wp14:editId="7BDCE1C6">
            <wp:extent cx="5731510" cy="2855595"/>
            <wp:effectExtent l="0" t="0" r="2540" b="1905"/>
            <wp:docPr id="13060855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85565" name="Picture 130608556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55595"/>
                    </a:xfrm>
                    <a:prstGeom prst="rect">
                      <a:avLst/>
                    </a:prstGeom>
                  </pic:spPr>
                </pic:pic>
              </a:graphicData>
            </a:graphic>
          </wp:inline>
        </w:drawing>
      </w:r>
      <w:r>
        <w:rPr>
          <w:b/>
          <w:bCs/>
          <w:noProof/>
          <w:sz w:val="32"/>
          <w:szCs w:val="32"/>
        </w:rPr>
        <w:lastRenderedPageBreak/>
        <w:drawing>
          <wp:inline distT="0" distB="0" distL="0" distR="0" wp14:anchorId="3F05CB45" wp14:editId="79F66064">
            <wp:extent cx="5731510" cy="2855595"/>
            <wp:effectExtent l="0" t="0" r="2540" b="1905"/>
            <wp:docPr id="10426776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77667" name="Picture 104267766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55595"/>
                    </a:xfrm>
                    <a:prstGeom prst="rect">
                      <a:avLst/>
                    </a:prstGeom>
                  </pic:spPr>
                </pic:pic>
              </a:graphicData>
            </a:graphic>
          </wp:inline>
        </w:drawing>
      </w:r>
      <w:r>
        <w:rPr>
          <w:b/>
          <w:bCs/>
          <w:noProof/>
          <w:sz w:val="32"/>
          <w:szCs w:val="32"/>
        </w:rPr>
        <w:drawing>
          <wp:inline distT="0" distB="0" distL="0" distR="0" wp14:anchorId="5B74A659" wp14:editId="51C7D2FF">
            <wp:extent cx="5731510" cy="2855595"/>
            <wp:effectExtent l="0" t="0" r="2540" b="1905"/>
            <wp:docPr id="1445698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98805" name="Picture 14456988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55595"/>
                    </a:xfrm>
                    <a:prstGeom prst="rect">
                      <a:avLst/>
                    </a:prstGeom>
                  </pic:spPr>
                </pic:pic>
              </a:graphicData>
            </a:graphic>
          </wp:inline>
        </w:drawing>
      </w:r>
    </w:p>
    <w:p w14:paraId="5860B746" w14:textId="77777777" w:rsidR="00BE2ECF" w:rsidRDefault="00BE2ECF" w:rsidP="00BE2ECF">
      <w:pPr>
        <w:pStyle w:val="ListParagraph"/>
        <w:ind w:left="1440"/>
        <w:rPr>
          <w:b/>
          <w:bCs/>
          <w:sz w:val="22"/>
          <w:szCs w:val="22"/>
        </w:rPr>
      </w:pPr>
    </w:p>
    <w:p w14:paraId="1FFB6FB4" w14:textId="15D8ECBC" w:rsidR="00BE2ECF" w:rsidRPr="00BE2ECF" w:rsidRDefault="00BE2ECF" w:rsidP="00BE2ECF">
      <w:pPr>
        <w:pStyle w:val="ListParagraph"/>
        <w:ind w:left="1440"/>
        <w:rPr>
          <w:b/>
          <w:bCs/>
          <w:sz w:val="22"/>
          <w:szCs w:val="22"/>
        </w:rPr>
      </w:pPr>
      <w:r>
        <w:rPr>
          <w:b/>
          <w:bCs/>
          <w:sz w:val="22"/>
          <w:szCs w:val="22"/>
        </w:rPr>
        <w:t xml:space="preserve">       </w:t>
      </w:r>
    </w:p>
    <w:p w14:paraId="55798EDB" w14:textId="4ADB8ECC" w:rsidR="00BE2ECF" w:rsidRDefault="008954E5" w:rsidP="008954E5">
      <w:pPr>
        <w:rPr>
          <w:b/>
          <w:bCs/>
          <w:sz w:val="28"/>
          <w:szCs w:val="28"/>
        </w:rPr>
      </w:pPr>
      <w:r w:rsidRPr="008954E5">
        <w:rPr>
          <w:b/>
          <w:bCs/>
          <w:sz w:val="28"/>
          <w:szCs w:val="28"/>
        </w:rPr>
        <w:t>4.Conclusion:</w:t>
      </w:r>
    </w:p>
    <w:p w14:paraId="5FA4B055" w14:textId="77777777" w:rsidR="008954E5" w:rsidRPr="008954E5" w:rsidRDefault="008954E5" w:rsidP="008954E5">
      <w:pPr>
        <w:rPr>
          <w:sz w:val="22"/>
          <w:szCs w:val="22"/>
        </w:rPr>
      </w:pPr>
      <w:r w:rsidRPr="008954E5">
        <w:rPr>
          <w:sz w:val="22"/>
          <w:szCs w:val="22"/>
        </w:rPr>
        <w:t>The vulnerability scan performed on the target system 192.168.56.1 using Nessus Essentials identified no critical or high-severity vulnerabilities, which indicates a generally secure system configuration. However, two medium-severity vulnerabilities were discovered that could pose security risks if left unaddressed:</w:t>
      </w:r>
    </w:p>
    <w:p w14:paraId="4C0D9388" w14:textId="77777777" w:rsidR="008954E5" w:rsidRPr="008954E5" w:rsidRDefault="008954E5" w:rsidP="008954E5">
      <w:pPr>
        <w:numPr>
          <w:ilvl w:val="0"/>
          <w:numId w:val="10"/>
        </w:numPr>
        <w:rPr>
          <w:sz w:val="20"/>
          <w:szCs w:val="20"/>
        </w:rPr>
      </w:pPr>
      <w:r w:rsidRPr="008954E5">
        <w:rPr>
          <w:sz w:val="20"/>
          <w:szCs w:val="20"/>
        </w:rPr>
        <w:t>SMB Signing Not Required (CVE-57608): This leaves the system vulnerable to Man-in-the-Middle (MITM) attacks, allowing potential attackers on the network to intercept or tamper with SMB communications. Enforcing SMB signing is recommended to ensure message integrity.</w:t>
      </w:r>
    </w:p>
    <w:p w14:paraId="56778FE5" w14:textId="10FCEAC9" w:rsidR="00BE2ECF" w:rsidRPr="008954E5" w:rsidRDefault="008954E5" w:rsidP="008954E5">
      <w:pPr>
        <w:numPr>
          <w:ilvl w:val="0"/>
          <w:numId w:val="10"/>
        </w:numPr>
        <w:rPr>
          <w:sz w:val="20"/>
          <w:szCs w:val="20"/>
        </w:rPr>
      </w:pPr>
      <w:r w:rsidRPr="008954E5">
        <w:rPr>
          <w:sz w:val="20"/>
          <w:szCs w:val="20"/>
        </w:rPr>
        <w:t>Untrusted SSL Certificate (CVE-51192): The server is using an SSL certificate that cannot be verified due to issues with the certificate chain. This may lead to MITM attacks and erodes user trust. A valid certificate from a recognized Certificate Authority should be installed.</w:t>
      </w:r>
    </w:p>
    <w:sectPr w:rsidR="00BE2ECF" w:rsidRPr="00895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15A2A"/>
    <w:multiLevelType w:val="hybridMultilevel"/>
    <w:tmpl w:val="3F1EE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A4F37"/>
    <w:multiLevelType w:val="multilevel"/>
    <w:tmpl w:val="91E0D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757D8"/>
    <w:multiLevelType w:val="hybridMultilevel"/>
    <w:tmpl w:val="A4EA5920"/>
    <w:lvl w:ilvl="0" w:tplc="4009000B">
      <w:start w:val="1"/>
      <w:numFmt w:val="bullet"/>
      <w:lvlText w:val=""/>
      <w:lvlJc w:val="left"/>
      <w:pPr>
        <w:ind w:left="1494"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D011951"/>
    <w:multiLevelType w:val="hybridMultilevel"/>
    <w:tmpl w:val="E552248C"/>
    <w:lvl w:ilvl="0" w:tplc="F4122138">
      <w:start w:val="2"/>
      <w:numFmt w:val="decimal"/>
      <w:lvlText w:val="%1."/>
      <w:lvlJc w:val="left"/>
      <w:pPr>
        <w:ind w:left="720" w:hanging="360"/>
      </w:pPr>
      <w:rPr>
        <w:rFonts w:eastAsiaTheme="maj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FA619A"/>
    <w:multiLevelType w:val="multilevel"/>
    <w:tmpl w:val="1DB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924FB"/>
    <w:multiLevelType w:val="multilevel"/>
    <w:tmpl w:val="D0168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F52F1"/>
    <w:multiLevelType w:val="hybridMultilevel"/>
    <w:tmpl w:val="3A4E1240"/>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24F66AB"/>
    <w:multiLevelType w:val="multilevel"/>
    <w:tmpl w:val="FE467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7365D9"/>
    <w:multiLevelType w:val="hybridMultilevel"/>
    <w:tmpl w:val="05CCC48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2348DE"/>
    <w:multiLevelType w:val="multilevel"/>
    <w:tmpl w:val="59601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3825467">
    <w:abstractNumId w:val="0"/>
  </w:num>
  <w:num w:numId="2" w16cid:durableId="795680242">
    <w:abstractNumId w:val="1"/>
  </w:num>
  <w:num w:numId="3" w16cid:durableId="776408068">
    <w:abstractNumId w:val="2"/>
  </w:num>
  <w:num w:numId="4" w16cid:durableId="1674140627">
    <w:abstractNumId w:val="5"/>
  </w:num>
  <w:num w:numId="5" w16cid:durableId="1983582728">
    <w:abstractNumId w:val="4"/>
  </w:num>
  <w:num w:numId="6" w16cid:durableId="1823615765">
    <w:abstractNumId w:val="7"/>
  </w:num>
  <w:num w:numId="7" w16cid:durableId="218176088">
    <w:abstractNumId w:val="8"/>
  </w:num>
  <w:num w:numId="8" w16cid:durableId="959066155">
    <w:abstractNumId w:val="6"/>
  </w:num>
  <w:num w:numId="9" w16cid:durableId="1776901732">
    <w:abstractNumId w:val="3"/>
  </w:num>
  <w:num w:numId="10" w16cid:durableId="13775818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CF"/>
    <w:rsid w:val="00091CBC"/>
    <w:rsid w:val="001B2D66"/>
    <w:rsid w:val="005425D3"/>
    <w:rsid w:val="005E000E"/>
    <w:rsid w:val="00731535"/>
    <w:rsid w:val="008954E5"/>
    <w:rsid w:val="00BE2ECF"/>
    <w:rsid w:val="00C01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20E4"/>
  <w15:chartTrackingRefBased/>
  <w15:docId w15:val="{0CF18B73-5622-42F8-A29E-D39958CC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E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E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E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E2E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E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E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E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E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E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E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E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E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E2E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E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E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E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E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ECF"/>
    <w:rPr>
      <w:rFonts w:eastAsiaTheme="majorEastAsia" w:cstheme="majorBidi"/>
      <w:color w:val="272727" w:themeColor="text1" w:themeTint="D8"/>
    </w:rPr>
  </w:style>
  <w:style w:type="paragraph" w:styleId="Title">
    <w:name w:val="Title"/>
    <w:basedOn w:val="Normal"/>
    <w:next w:val="Normal"/>
    <w:link w:val="TitleChar"/>
    <w:uiPriority w:val="10"/>
    <w:qFormat/>
    <w:rsid w:val="00BE2E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E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E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E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ECF"/>
    <w:pPr>
      <w:spacing w:before="160"/>
      <w:jc w:val="center"/>
    </w:pPr>
    <w:rPr>
      <w:i/>
      <w:iCs/>
      <w:color w:val="404040" w:themeColor="text1" w:themeTint="BF"/>
    </w:rPr>
  </w:style>
  <w:style w:type="character" w:customStyle="1" w:styleId="QuoteChar">
    <w:name w:val="Quote Char"/>
    <w:basedOn w:val="DefaultParagraphFont"/>
    <w:link w:val="Quote"/>
    <w:uiPriority w:val="29"/>
    <w:rsid w:val="00BE2ECF"/>
    <w:rPr>
      <w:i/>
      <w:iCs/>
      <w:color w:val="404040" w:themeColor="text1" w:themeTint="BF"/>
    </w:rPr>
  </w:style>
  <w:style w:type="paragraph" w:styleId="ListParagraph">
    <w:name w:val="List Paragraph"/>
    <w:basedOn w:val="Normal"/>
    <w:uiPriority w:val="34"/>
    <w:qFormat/>
    <w:rsid w:val="00BE2ECF"/>
    <w:pPr>
      <w:ind w:left="720"/>
      <w:contextualSpacing/>
    </w:pPr>
  </w:style>
  <w:style w:type="character" w:styleId="IntenseEmphasis">
    <w:name w:val="Intense Emphasis"/>
    <w:basedOn w:val="DefaultParagraphFont"/>
    <w:uiPriority w:val="21"/>
    <w:qFormat/>
    <w:rsid w:val="00BE2ECF"/>
    <w:rPr>
      <w:i/>
      <w:iCs/>
      <w:color w:val="0F4761" w:themeColor="accent1" w:themeShade="BF"/>
    </w:rPr>
  </w:style>
  <w:style w:type="paragraph" w:styleId="IntenseQuote">
    <w:name w:val="Intense Quote"/>
    <w:basedOn w:val="Normal"/>
    <w:next w:val="Normal"/>
    <w:link w:val="IntenseQuoteChar"/>
    <w:uiPriority w:val="30"/>
    <w:qFormat/>
    <w:rsid w:val="00BE2E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ECF"/>
    <w:rPr>
      <w:i/>
      <w:iCs/>
      <w:color w:val="0F4761" w:themeColor="accent1" w:themeShade="BF"/>
    </w:rPr>
  </w:style>
  <w:style w:type="character" w:styleId="IntenseReference">
    <w:name w:val="Intense Reference"/>
    <w:basedOn w:val="DefaultParagraphFont"/>
    <w:uiPriority w:val="32"/>
    <w:qFormat/>
    <w:rsid w:val="00BE2ECF"/>
    <w:rPr>
      <w:b/>
      <w:bCs/>
      <w:smallCaps/>
      <w:color w:val="0F4761" w:themeColor="accent1" w:themeShade="BF"/>
      <w:spacing w:val="5"/>
    </w:rPr>
  </w:style>
  <w:style w:type="paragraph" w:styleId="NormalWeb">
    <w:name w:val="Normal (Web)"/>
    <w:basedOn w:val="Normal"/>
    <w:uiPriority w:val="99"/>
    <w:semiHidden/>
    <w:unhideWhenUsed/>
    <w:rsid w:val="0073153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7315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97333">
      <w:bodyDiv w:val="1"/>
      <w:marLeft w:val="0"/>
      <w:marRight w:val="0"/>
      <w:marTop w:val="0"/>
      <w:marBottom w:val="0"/>
      <w:divBdr>
        <w:top w:val="none" w:sz="0" w:space="0" w:color="auto"/>
        <w:left w:val="none" w:sz="0" w:space="0" w:color="auto"/>
        <w:bottom w:val="none" w:sz="0" w:space="0" w:color="auto"/>
        <w:right w:val="none" w:sz="0" w:space="0" w:color="auto"/>
      </w:divBdr>
    </w:div>
    <w:div w:id="48774848">
      <w:bodyDiv w:val="1"/>
      <w:marLeft w:val="0"/>
      <w:marRight w:val="0"/>
      <w:marTop w:val="0"/>
      <w:marBottom w:val="0"/>
      <w:divBdr>
        <w:top w:val="none" w:sz="0" w:space="0" w:color="auto"/>
        <w:left w:val="none" w:sz="0" w:space="0" w:color="auto"/>
        <w:bottom w:val="none" w:sz="0" w:space="0" w:color="auto"/>
        <w:right w:val="none" w:sz="0" w:space="0" w:color="auto"/>
      </w:divBdr>
    </w:div>
    <w:div w:id="66343139">
      <w:bodyDiv w:val="1"/>
      <w:marLeft w:val="0"/>
      <w:marRight w:val="0"/>
      <w:marTop w:val="0"/>
      <w:marBottom w:val="0"/>
      <w:divBdr>
        <w:top w:val="none" w:sz="0" w:space="0" w:color="auto"/>
        <w:left w:val="none" w:sz="0" w:space="0" w:color="auto"/>
        <w:bottom w:val="none" w:sz="0" w:space="0" w:color="auto"/>
        <w:right w:val="none" w:sz="0" w:space="0" w:color="auto"/>
      </w:divBdr>
    </w:div>
    <w:div w:id="78068980">
      <w:bodyDiv w:val="1"/>
      <w:marLeft w:val="0"/>
      <w:marRight w:val="0"/>
      <w:marTop w:val="0"/>
      <w:marBottom w:val="0"/>
      <w:divBdr>
        <w:top w:val="none" w:sz="0" w:space="0" w:color="auto"/>
        <w:left w:val="none" w:sz="0" w:space="0" w:color="auto"/>
        <w:bottom w:val="none" w:sz="0" w:space="0" w:color="auto"/>
        <w:right w:val="none" w:sz="0" w:space="0" w:color="auto"/>
      </w:divBdr>
    </w:div>
    <w:div w:id="145366343">
      <w:bodyDiv w:val="1"/>
      <w:marLeft w:val="0"/>
      <w:marRight w:val="0"/>
      <w:marTop w:val="0"/>
      <w:marBottom w:val="0"/>
      <w:divBdr>
        <w:top w:val="none" w:sz="0" w:space="0" w:color="auto"/>
        <w:left w:val="none" w:sz="0" w:space="0" w:color="auto"/>
        <w:bottom w:val="none" w:sz="0" w:space="0" w:color="auto"/>
        <w:right w:val="none" w:sz="0" w:space="0" w:color="auto"/>
      </w:divBdr>
    </w:div>
    <w:div w:id="211112365">
      <w:bodyDiv w:val="1"/>
      <w:marLeft w:val="0"/>
      <w:marRight w:val="0"/>
      <w:marTop w:val="0"/>
      <w:marBottom w:val="0"/>
      <w:divBdr>
        <w:top w:val="none" w:sz="0" w:space="0" w:color="auto"/>
        <w:left w:val="none" w:sz="0" w:space="0" w:color="auto"/>
        <w:bottom w:val="none" w:sz="0" w:space="0" w:color="auto"/>
        <w:right w:val="none" w:sz="0" w:space="0" w:color="auto"/>
      </w:divBdr>
    </w:div>
    <w:div w:id="227887374">
      <w:bodyDiv w:val="1"/>
      <w:marLeft w:val="0"/>
      <w:marRight w:val="0"/>
      <w:marTop w:val="0"/>
      <w:marBottom w:val="0"/>
      <w:divBdr>
        <w:top w:val="none" w:sz="0" w:space="0" w:color="auto"/>
        <w:left w:val="none" w:sz="0" w:space="0" w:color="auto"/>
        <w:bottom w:val="none" w:sz="0" w:space="0" w:color="auto"/>
        <w:right w:val="none" w:sz="0" w:space="0" w:color="auto"/>
      </w:divBdr>
    </w:div>
    <w:div w:id="296574836">
      <w:bodyDiv w:val="1"/>
      <w:marLeft w:val="0"/>
      <w:marRight w:val="0"/>
      <w:marTop w:val="0"/>
      <w:marBottom w:val="0"/>
      <w:divBdr>
        <w:top w:val="none" w:sz="0" w:space="0" w:color="auto"/>
        <w:left w:val="none" w:sz="0" w:space="0" w:color="auto"/>
        <w:bottom w:val="none" w:sz="0" w:space="0" w:color="auto"/>
        <w:right w:val="none" w:sz="0" w:space="0" w:color="auto"/>
      </w:divBdr>
    </w:div>
    <w:div w:id="473111069">
      <w:bodyDiv w:val="1"/>
      <w:marLeft w:val="0"/>
      <w:marRight w:val="0"/>
      <w:marTop w:val="0"/>
      <w:marBottom w:val="0"/>
      <w:divBdr>
        <w:top w:val="none" w:sz="0" w:space="0" w:color="auto"/>
        <w:left w:val="none" w:sz="0" w:space="0" w:color="auto"/>
        <w:bottom w:val="none" w:sz="0" w:space="0" w:color="auto"/>
        <w:right w:val="none" w:sz="0" w:space="0" w:color="auto"/>
      </w:divBdr>
    </w:div>
    <w:div w:id="775976825">
      <w:bodyDiv w:val="1"/>
      <w:marLeft w:val="0"/>
      <w:marRight w:val="0"/>
      <w:marTop w:val="0"/>
      <w:marBottom w:val="0"/>
      <w:divBdr>
        <w:top w:val="none" w:sz="0" w:space="0" w:color="auto"/>
        <w:left w:val="none" w:sz="0" w:space="0" w:color="auto"/>
        <w:bottom w:val="none" w:sz="0" w:space="0" w:color="auto"/>
        <w:right w:val="none" w:sz="0" w:space="0" w:color="auto"/>
      </w:divBdr>
    </w:div>
    <w:div w:id="1101024702">
      <w:bodyDiv w:val="1"/>
      <w:marLeft w:val="0"/>
      <w:marRight w:val="0"/>
      <w:marTop w:val="0"/>
      <w:marBottom w:val="0"/>
      <w:divBdr>
        <w:top w:val="none" w:sz="0" w:space="0" w:color="auto"/>
        <w:left w:val="none" w:sz="0" w:space="0" w:color="auto"/>
        <w:bottom w:val="none" w:sz="0" w:space="0" w:color="auto"/>
        <w:right w:val="none" w:sz="0" w:space="0" w:color="auto"/>
      </w:divBdr>
    </w:div>
    <w:div w:id="1163008243">
      <w:bodyDiv w:val="1"/>
      <w:marLeft w:val="0"/>
      <w:marRight w:val="0"/>
      <w:marTop w:val="0"/>
      <w:marBottom w:val="0"/>
      <w:divBdr>
        <w:top w:val="none" w:sz="0" w:space="0" w:color="auto"/>
        <w:left w:val="none" w:sz="0" w:space="0" w:color="auto"/>
        <w:bottom w:val="none" w:sz="0" w:space="0" w:color="auto"/>
        <w:right w:val="none" w:sz="0" w:space="0" w:color="auto"/>
      </w:divBdr>
    </w:div>
    <w:div w:id="1177234414">
      <w:bodyDiv w:val="1"/>
      <w:marLeft w:val="0"/>
      <w:marRight w:val="0"/>
      <w:marTop w:val="0"/>
      <w:marBottom w:val="0"/>
      <w:divBdr>
        <w:top w:val="none" w:sz="0" w:space="0" w:color="auto"/>
        <w:left w:val="none" w:sz="0" w:space="0" w:color="auto"/>
        <w:bottom w:val="none" w:sz="0" w:space="0" w:color="auto"/>
        <w:right w:val="none" w:sz="0" w:space="0" w:color="auto"/>
      </w:divBdr>
      <w:divsChild>
        <w:div w:id="557908320">
          <w:marLeft w:val="0"/>
          <w:marRight w:val="0"/>
          <w:marTop w:val="0"/>
          <w:marBottom w:val="0"/>
          <w:divBdr>
            <w:top w:val="none" w:sz="0" w:space="0" w:color="auto"/>
            <w:left w:val="none" w:sz="0" w:space="0" w:color="auto"/>
            <w:bottom w:val="none" w:sz="0" w:space="0" w:color="auto"/>
            <w:right w:val="none" w:sz="0" w:space="0" w:color="auto"/>
          </w:divBdr>
        </w:div>
      </w:divsChild>
    </w:div>
    <w:div w:id="1205368575">
      <w:bodyDiv w:val="1"/>
      <w:marLeft w:val="0"/>
      <w:marRight w:val="0"/>
      <w:marTop w:val="0"/>
      <w:marBottom w:val="0"/>
      <w:divBdr>
        <w:top w:val="none" w:sz="0" w:space="0" w:color="auto"/>
        <w:left w:val="none" w:sz="0" w:space="0" w:color="auto"/>
        <w:bottom w:val="none" w:sz="0" w:space="0" w:color="auto"/>
        <w:right w:val="none" w:sz="0" w:space="0" w:color="auto"/>
      </w:divBdr>
    </w:div>
    <w:div w:id="1263340763">
      <w:bodyDiv w:val="1"/>
      <w:marLeft w:val="0"/>
      <w:marRight w:val="0"/>
      <w:marTop w:val="0"/>
      <w:marBottom w:val="0"/>
      <w:divBdr>
        <w:top w:val="none" w:sz="0" w:space="0" w:color="auto"/>
        <w:left w:val="none" w:sz="0" w:space="0" w:color="auto"/>
        <w:bottom w:val="none" w:sz="0" w:space="0" w:color="auto"/>
        <w:right w:val="none" w:sz="0" w:space="0" w:color="auto"/>
      </w:divBdr>
    </w:div>
    <w:div w:id="1358192394">
      <w:bodyDiv w:val="1"/>
      <w:marLeft w:val="0"/>
      <w:marRight w:val="0"/>
      <w:marTop w:val="0"/>
      <w:marBottom w:val="0"/>
      <w:divBdr>
        <w:top w:val="none" w:sz="0" w:space="0" w:color="auto"/>
        <w:left w:val="none" w:sz="0" w:space="0" w:color="auto"/>
        <w:bottom w:val="none" w:sz="0" w:space="0" w:color="auto"/>
        <w:right w:val="none" w:sz="0" w:space="0" w:color="auto"/>
      </w:divBdr>
    </w:div>
    <w:div w:id="1389380222">
      <w:bodyDiv w:val="1"/>
      <w:marLeft w:val="0"/>
      <w:marRight w:val="0"/>
      <w:marTop w:val="0"/>
      <w:marBottom w:val="0"/>
      <w:divBdr>
        <w:top w:val="none" w:sz="0" w:space="0" w:color="auto"/>
        <w:left w:val="none" w:sz="0" w:space="0" w:color="auto"/>
        <w:bottom w:val="none" w:sz="0" w:space="0" w:color="auto"/>
        <w:right w:val="none" w:sz="0" w:space="0" w:color="auto"/>
      </w:divBdr>
    </w:div>
    <w:div w:id="1569076302">
      <w:bodyDiv w:val="1"/>
      <w:marLeft w:val="0"/>
      <w:marRight w:val="0"/>
      <w:marTop w:val="0"/>
      <w:marBottom w:val="0"/>
      <w:divBdr>
        <w:top w:val="none" w:sz="0" w:space="0" w:color="auto"/>
        <w:left w:val="none" w:sz="0" w:space="0" w:color="auto"/>
        <w:bottom w:val="none" w:sz="0" w:space="0" w:color="auto"/>
        <w:right w:val="none" w:sz="0" w:space="0" w:color="auto"/>
      </w:divBdr>
    </w:div>
    <w:div w:id="1618559719">
      <w:bodyDiv w:val="1"/>
      <w:marLeft w:val="0"/>
      <w:marRight w:val="0"/>
      <w:marTop w:val="0"/>
      <w:marBottom w:val="0"/>
      <w:divBdr>
        <w:top w:val="none" w:sz="0" w:space="0" w:color="auto"/>
        <w:left w:val="none" w:sz="0" w:space="0" w:color="auto"/>
        <w:bottom w:val="none" w:sz="0" w:space="0" w:color="auto"/>
        <w:right w:val="none" w:sz="0" w:space="0" w:color="auto"/>
      </w:divBdr>
    </w:div>
    <w:div w:id="1640721897">
      <w:bodyDiv w:val="1"/>
      <w:marLeft w:val="0"/>
      <w:marRight w:val="0"/>
      <w:marTop w:val="0"/>
      <w:marBottom w:val="0"/>
      <w:divBdr>
        <w:top w:val="none" w:sz="0" w:space="0" w:color="auto"/>
        <w:left w:val="none" w:sz="0" w:space="0" w:color="auto"/>
        <w:bottom w:val="none" w:sz="0" w:space="0" w:color="auto"/>
        <w:right w:val="none" w:sz="0" w:space="0" w:color="auto"/>
      </w:divBdr>
    </w:div>
    <w:div w:id="1835027685">
      <w:bodyDiv w:val="1"/>
      <w:marLeft w:val="0"/>
      <w:marRight w:val="0"/>
      <w:marTop w:val="0"/>
      <w:marBottom w:val="0"/>
      <w:divBdr>
        <w:top w:val="none" w:sz="0" w:space="0" w:color="auto"/>
        <w:left w:val="none" w:sz="0" w:space="0" w:color="auto"/>
        <w:bottom w:val="none" w:sz="0" w:space="0" w:color="auto"/>
        <w:right w:val="none" w:sz="0" w:space="0" w:color="auto"/>
      </w:divBdr>
      <w:divsChild>
        <w:div w:id="852499921">
          <w:marLeft w:val="0"/>
          <w:marRight w:val="0"/>
          <w:marTop w:val="0"/>
          <w:marBottom w:val="0"/>
          <w:divBdr>
            <w:top w:val="none" w:sz="0" w:space="0" w:color="auto"/>
            <w:left w:val="none" w:sz="0" w:space="0" w:color="auto"/>
            <w:bottom w:val="none" w:sz="0" w:space="0" w:color="auto"/>
            <w:right w:val="none" w:sz="0" w:space="0" w:color="auto"/>
          </w:divBdr>
        </w:div>
      </w:divsChild>
    </w:div>
    <w:div w:id="1871382810">
      <w:bodyDiv w:val="1"/>
      <w:marLeft w:val="0"/>
      <w:marRight w:val="0"/>
      <w:marTop w:val="0"/>
      <w:marBottom w:val="0"/>
      <w:divBdr>
        <w:top w:val="none" w:sz="0" w:space="0" w:color="auto"/>
        <w:left w:val="none" w:sz="0" w:space="0" w:color="auto"/>
        <w:bottom w:val="none" w:sz="0" w:space="0" w:color="auto"/>
        <w:right w:val="none" w:sz="0" w:space="0" w:color="auto"/>
      </w:divBdr>
    </w:div>
    <w:div w:id="1922370443">
      <w:bodyDiv w:val="1"/>
      <w:marLeft w:val="0"/>
      <w:marRight w:val="0"/>
      <w:marTop w:val="0"/>
      <w:marBottom w:val="0"/>
      <w:divBdr>
        <w:top w:val="none" w:sz="0" w:space="0" w:color="auto"/>
        <w:left w:val="none" w:sz="0" w:space="0" w:color="auto"/>
        <w:bottom w:val="none" w:sz="0" w:space="0" w:color="auto"/>
        <w:right w:val="none" w:sz="0" w:space="0" w:color="auto"/>
      </w:divBdr>
    </w:div>
    <w:div w:id="1943024645">
      <w:bodyDiv w:val="1"/>
      <w:marLeft w:val="0"/>
      <w:marRight w:val="0"/>
      <w:marTop w:val="0"/>
      <w:marBottom w:val="0"/>
      <w:divBdr>
        <w:top w:val="none" w:sz="0" w:space="0" w:color="auto"/>
        <w:left w:val="none" w:sz="0" w:space="0" w:color="auto"/>
        <w:bottom w:val="none" w:sz="0" w:space="0" w:color="auto"/>
        <w:right w:val="none" w:sz="0" w:space="0" w:color="auto"/>
      </w:divBdr>
    </w:div>
    <w:div w:id="2054842953">
      <w:bodyDiv w:val="1"/>
      <w:marLeft w:val="0"/>
      <w:marRight w:val="0"/>
      <w:marTop w:val="0"/>
      <w:marBottom w:val="0"/>
      <w:divBdr>
        <w:top w:val="none" w:sz="0" w:space="0" w:color="auto"/>
        <w:left w:val="none" w:sz="0" w:space="0" w:color="auto"/>
        <w:bottom w:val="none" w:sz="0" w:space="0" w:color="auto"/>
        <w:right w:val="none" w:sz="0" w:space="0" w:color="auto"/>
      </w:divBdr>
    </w:div>
    <w:div w:id="211609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Ruban</dc:creator>
  <cp:keywords/>
  <dc:description/>
  <cp:lastModifiedBy>Bala Ruban</cp:lastModifiedBy>
  <cp:revision>1</cp:revision>
  <dcterms:created xsi:type="dcterms:W3CDTF">2025-06-01T15:24:00Z</dcterms:created>
  <dcterms:modified xsi:type="dcterms:W3CDTF">2025-06-01T16:59:00Z</dcterms:modified>
</cp:coreProperties>
</file>