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Architecture</w:t>
      </w:r>
    </w:p>
    <w:p>
      <w:pPr>
        <w:jc w:val="center"/>
      </w:pPr>
      <w:r>
        <w:t>Technology Stack and Implementation Details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14 + TypeScript + Tailwind CSS</w:t>
            </w:r>
          </w:p>
        </w:tc>
        <w:tc>
          <w:tcPr>
            <w:tcW w:type="dxa" w:w="2880"/>
          </w:tcPr>
          <w:p>
            <w:r>
              <w:t>Modern, accessible, SSR for SEO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 3.11+)</w:t>
            </w:r>
          </w:p>
        </w:tc>
        <w:tc>
          <w:tcPr>
            <w:tcW w:type="dxa" w:w="2880"/>
          </w:tcPr>
          <w:p>
            <w:r>
              <w:t>Best ML ecosystem, async, auto docs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ChromaDB (MVP) → Qdrant (prod)</w:t>
            </w:r>
          </w:p>
        </w:tc>
        <w:tc>
          <w:tcPr>
            <w:tcW w:type="dxa" w:w="2880"/>
          </w:tcPr>
          <w:p>
            <w:r>
              <w:t>Fast prototyping, scalable production</w:t>
            </w:r>
          </w:p>
        </w:tc>
      </w:tr>
      <w:tr>
        <w:tc>
          <w:tcPr>
            <w:tcW w:type="dxa" w:w="2880"/>
          </w:tcPr>
          <w:p>
            <w:r>
              <w:t>Graph DB</w:t>
            </w:r>
          </w:p>
        </w:tc>
        <w:tc>
          <w:tcPr>
            <w:tcW w:type="dxa" w:w="2880"/>
          </w:tcPr>
          <w:p>
            <w:r>
              <w:t>Neo4j Community Edition</w:t>
            </w:r>
          </w:p>
        </w:tc>
        <w:tc>
          <w:tcPr>
            <w:tcW w:type="dxa" w:w="2880"/>
          </w:tcPr>
          <w:p>
            <w:r>
              <w:t>Native graph queries, free tier</w:t>
            </w:r>
          </w:p>
        </w:tc>
      </w:tr>
      <w:tr>
        <w:tc>
          <w:tcPr>
            <w:tcW w:type="dxa" w:w="2880"/>
          </w:tcPr>
          <w:p>
            <w:r>
              <w:t>Primary DB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Battle-tested, government approved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BAAI/bge-base-en-v1.5</w:t>
            </w:r>
          </w:p>
        </w:tc>
        <w:tc>
          <w:tcPr>
            <w:tcW w:type="dxa" w:w="2880"/>
          </w:tcPr>
          <w:p>
            <w:r>
              <w:t>Free, fast, accurate</w:t>
            </w:r>
          </w:p>
        </w:tc>
      </w:tr>
      <w:tr>
        <w:tc>
          <w:tcPr>
            <w:tcW w:type="dxa" w:w="2880"/>
          </w:tcPr>
          <w:p>
            <w:r>
              <w:t>Multilingual</w:t>
            </w:r>
          </w:p>
        </w:tc>
        <w:tc>
          <w:tcPr>
            <w:tcW w:type="dxa" w:w="2880"/>
          </w:tcPr>
          <w:p>
            <w:r>
              <w:t>paraphrase-multilingual-MiniLM-L12-v2</w:t>
            </w:r>
          </w:p>
        </w:tc>
        <w:tc>
          <w:tcPr>
            <w:tcW w:type="dxa" w:w="2880"/>
          </w:tcPr>
          <w:p>
            <w:r>
              <w:t>Hindi + 100 languages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Claude API / Groq + Llama 3.1</w:t>
            </w:r>
          </w:p>
        </w:tc>
        <w:tc>
          <w:tcPr>
            <w:tcW w:type="dxa" w:w="2880"/>
          </w:tcPr>
          <w:p>
            <w:r>
              <w:t>Accuracy with free fallback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Bhashini API / IndicTrans2</w:t>
            </w:r>
          </w:p>
        </w:tc>
        <w:tc>
          <w:tcPr>
            <w:tcW w:type="dxa" w:w="2880"/>
          </w:tcPr>
          <w:p>
            <w:r>
              <w:t>Government initiative alignment</w:t>
            </w:r>
          </w:p>
        </w:tc>
      </w:tr>
      <w:tr>
        <w:tc>
          <w:tcPr>
            <w:tcW w:type="dxa" w:w="2880"/>
          </w:tcPr>
          <w:p>
            <w:r>
              <w:t>Document Processing</w:t>
            </w:r>
          </w:p>
        </w:tc>
        <w:tc>
          <w:tcPr>
            <w:tcW w:type="dxa" w:w="2880"/>
          </w:tcPr>
          <w:p>
            <w:r>
              <w:t>LangChain + PyMuPDF + Unstructured</w:t>
            </w:r>
          </w:p>
        </w:tc>
        <w:tc>
          <w:tcPr>
            <w:tcW w:type="dxa" w:w="2880"/>
          </w:tcPr>
          <w:p>
            <w:r>
              <w:t>Handles all formats</w:t>
            </w:r>
          </w:p>
        </w:tc>
      </w:tr>
      <w:tr>
        <w:tc>
          <w:tcPr>
            <w:tcW w:type="dxa" w:w="2880"/>
          </w:tcPr>
          <w:p>
            <w:r>
              <w:t>Visualization</w:t>
            </w:r>
          </w:p>
        </w:tc>
        <w:tc>
          <w:tcPr>
            <w:tcW w:type="dxa" w:w="2880"/>
          </w:tcPr>
          <w:p>
            <w:r>
              <w:t>React Flow + Recharts</w:t>
            </w:r>
          </w:p>
        </w:tc>
        <w:tc>
          <w:tcPr>
            <w:tcW w:type="dxa" w:w="2880"/>
          </w:tcPr>
          <w:p>
            <w:r>
              <w:t>Interactive graphs and charts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+ Railway/Render → NIC Cloud</w:t>
            </w:r>
          </w:p>
        </w:tc>
        <w:tc>
          <w:tcPr>
            <w:tcW w:type="dxa" w:w="2880"/>
          </w:tcPr>
          <w:p>
            <w:r>
              <w:t>Fast demo, gov production</w:t>
            </w:r>
          </w:p>
        </w:tc>
      </w:tr>
    </w:tbl>
    <w:p/>
    <w:p>
      <w:pPr>
        <w:pStyle w:val="Heading1"/>
      </w:pPr>
      <w:r>
        <w:t>2.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Available</w:t>
            </w:r>
          </w:p>
        </w:tc>
      </w:tr>
      <w:tr>
        <w:tc>
          <w:tcPr>
            <w:tcW w:type="dxa" w:w="2880"/>
          </w:tcPr>
          <w:p>
            <w:r>
              <w:t>BIS Standards Catalog</w:t>
            </w:r>
          </w:p>
        </w:tc>
        <w:tc>
          <w:tcPr>
            <w:tcW w:type="dxa" w:w="2880"/>
          </w:tcPr>
          <w:p>
            <w:r>
              <w:t>services.bis.gov.in</w:t>
            </w:r>
          </w:p>
        </w:tc>
        <w:tc>
          <w:tcPr>
            <w:tcW w:type="dxa" w:w="2880"/>
          </w:tcPr>
          <w:p>
            <w:r>
              <w:t>IS numbers, titles, scopes, categories</w:t>
            </w:r>
          </w:p>
        </w:tc>
      </w:tr>
      <w:tr>
        <w:tc>
          <w:tcPr>
            <w:tcW w:type="dxa" w:w="2880"/>
          </w:tcPr>
          <w:p>
            <w:r>
              <w:t>Standards Download</w:t>
            </w:r>
          </w:p>
        </w:tc>
        <w:tc>
          <w:tcPr>
            <w:tcW w:type="dxa" w:w="2880"/>
          </w:tcPr>
          <w:p>
            <w:r>
              <w:t>standardsbis.bsbedge.com</w:t>
            </w:r>
          </w:p>
        </w:tc>
        <w:tc>
          <w:tcPr>
            <w:tcW w:type="dxa" w:w="2880"/>
          </w:tcPr>
          <w:p>
            <w:r>
              <w:t>Full standard PDFs</w:t>
            </w:r>
          </w:p>
        </w:tc>
      </w:tr>
      <w:tr>
        <w:tc>
          <w:tcPr>
            <w:tcW w:type="dxa" w:w="2880"/>
          </w:tcPr>
          <w:p>
            <w:r>
              <w:t>Know Your Standards</w:t>
            </w:r>
          </w:p>
        </w:tc>
        <w:tc>
          <w:tcPr>
            <w:tcW w:type="dxa" w:w="2880"/>
          </w:tcPr>
          <w:p>
            <w:r>
              <w:t>bis.gov.in/know-your-standards</w:t>
            </w:r>
          </w:p>
        </w:tc>
        <w:tc>
          <w:tcPr>
            <w:tcW w:type="dxa" w:w="2880"/>
          </w:tcPr>
          <w:p>
            <w:r>
              <w:t>Standard lookup tool</w:t>
            </w:r>
          </w:p>
        </w:tc>
      </w:tr>
      <w:tr>
        <w:tc>
          <w:tcPr>
            <w:tcW w:type="dxa" w:w="2880"/>
          </w:tcPr>
          <w:p>
            <w:r>
              <w:t>GeM Portal</w:t>
            </w:r>
          </w:p>
        </w:tc>
        <w:tc>
          <w:tcPr>
            <w:tcW w:type="dxa" w:w="2880"/>
          </w:tcPr>
          <w:p>
            <w:r>
              <w:t>gem.gov.in</w:t>
            </w:r>
          </w:p>
        </w:tc>
        <w:tc>
          <w:tcPr>
            <w:tcW w:type="dxa" w:w="2880"/>
          </w:tcPr>
          <w:p>
            <w:r>
              <w:t>Product categories with IS references</w:t>
            </w:r>
          </w:p>
        </w:tc>
      </w:tr>
      <w:tr>
        <w:tc>
          <w:tcPr>
            <w:tcW w:type="dxa" w:w="2880"/>
          </w:tcPr>
          <w:p>
            <w:r>
              <w:t>BIS Bulletin</w:t>
            </w:r>
          </w:p>
        </w:tc>
        <w:tc>
          <w:tcPr>
            <w:tcW w:type="dxa" w:w="2880"/>
          </w:tcPr>
          <w:p>
            <w:r>
              <w:t>bis.gov.in</w:t>
            </w:r>
          </w:p>
        </w:tc>
        <w:tc>
          <w:tcPr>
            <w:tcW w:type="dxa" w:w="2880"/>
          </w:tcPr>
          <w:p>
            <w:r>
              <w:t>Weekly new/revised standards</w:t>
            </w:r>
          </w:p>
        </w:tc>
      </w:tr>
    </w:tbl>
    <w:p/>
    <w:p>
      <w:pPr>
        <w:pStyle w:val="Heading1"/>
      </w:pPr>
      <w:r>
        <w:t>3. API Design</w:t>
      </w:r>
    </w:p>
    <w:p>
      <w:pPr>
        <w:pStyle w:val="Heading2"/>
      </w:pPr>
      <w:r>
        <w:t>3.1 Recommendation Endpoint</w:t>
      </w:r>
    </w:p>
    <w:p>
      <w:r>
        <w:t>POST /api/v1/recommend</w:t>
      </w:r>
    </w:p>
    <w:p>
      <w:r>
        <w:t>Request Body:</w:t>
      </w:r>
    </w:p>
    <w:p>
      <w:r>
        <w:t>{</w:t>
        <w:br/>
        <w:t xml:space="preserve">  "query": "Steel pipes for drinking water supply",</w:t>
        <w:br/>
        <w:t xml:space="preserve">  "input_type": "text",</w:t>
        <w:br/>
        <w:t xml:space="preserve">  "language": "en",</w:t>
        <w:br/>
        <w:t xml:space="preserve">  "include_allied": true,</w:t>
        <w:br/>
        <w:t xml:space="preserve">  "include_certifications": true,</w:t>
        <w:br/>
        <w:t xml:space="preserve">  "max_results": 10</w:t>
        <w:br/>
        <w:t>}</w:t>
      </w:r>
    </w:p>
    <w:p>
      <w:r>
        <w:t>Response:</w:t>
      </w:r>
    </w:p>
    <w:p>
      <w:r>
        <w:t>{</w:t>
        <w:br/>
        <w:t xml:space="preserve">  "primary_standards": [...],</w:t>
        <w:br/>
        <w:t xml:space="preserve">  "allied_standards": [...],</w:t>
        <w:br/>
        <w:t xml:space="preserve">  "certifications": [...],</w:t>
        <w:br/>
        <w:t xml:space="preserve">  "query_understood": "...",</w:t>
        <w:br/>
        <w:t xml:space="preserve">  "standard_graph": {...}</w:t>
        <w:br/>
        <w:t>}</w:t>
      </w:r>
    </w:p>
    <w:p>
      <w:pPr>
        <w:pStyle w:val="Heading2"/>
      </w:pPr>
      <w:r>
        <w:t>3.2 Additional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/api/v1/standards</w:t>
            </w:r>
          </w:p>
        </w:tc>
        <w:tc>
          <w:tcPr>
            <w:tcW w:type="dxa" w:w="4320"/>
          </w:tcPr>
          <w:p>
            <w:r>
              <w:t>List all standards with pagination</w:t>
            </w:r>
          </w:p>
        </w:tc>
      </w:tr>
      <w:tr>
        <w:tc>
          <w:tcPr>
            <w:tcW w:type="dxa" w:w="4320"/>
          </w:tcPr>
          <w:p>
            <w:r>
              <w:t>GET /api/v1/standards/{is_number}</w:t>
            </w:r>
          </w:p>
        </w:tc>
        <w:tc>
          <w:tcPr>
            <w:tcW w:type="dxa" w:w="4320"/>
          </w:tcPr>
          <w:p>
            <w:r>
              <w:t>Get specific standard details</w:t>
            </w:r>
          </w:p>
        </w:tc>
      </w:tr>
      <w:tr>
        <w:tc>
          <w:tcPr>
            <w:tcW w:type="dxa" w:w="4320"/>
          </w:tcPr>
          <w:p>
            <w:r>
              <w:t>POST /api/v1/upload</w:t>
            </w:r>
          </w:p>
        </w:tc>
        <w:tc>
          <w:tcPr>
            <w:tcW w:type="dxa" w:w="4320"/>
          </w:tcPr>
          <w:p>
            <w:r>
              <w:t>Upload document for analysis</w:t>
            </w:r>
          </w:p>
        </w:tc>
      </w:tr>
      <w:tr>
        <w:tc>
          <w:tcPr>
            <w:tcW w:type="dxa" w:w="4320"/>
          </w:tcPr>
          <w:p>
            <w:r>
              <w:t>GET /api/v1/graph/{is_number}</w:t>
            </w:r>
          </w:p>
        </w:tc>
        <w:tc>
          <w:tcPr>
            <w:tcW w:type="dxa" w:w="4320"/>
          </w:tcPr>
          <w:p>
            <w:r>
              <w:t>Get standards relationship graph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Health check endpoint</w:t>
            </w:r>
          </w:p>
        </w:tc>
      </w:tr>
    </w:tbl>
    <w:p/>
    <w:p>
      <w:pPr>
        <w:pStyle w:val="Heading1"/>
      </w:pPr>
      <w:r>
        <w:t>4. Data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4320"/>
          </w:tcPr>
          <w:p>
            <w:r>
              <w:t>Ingestion</w:t>
            </w:r>
          </w:p>
        </w:tc>
        <w:tc>
          <w:tcPr>
            <w:tcW w:type="dxa" w:w="4320"/>
          </w:tcPr>
          <w:p>
            <w:r>
              <w:t>Scrape BIS catalog, download PDFs, fetch GeM data</w:t>
            </w:r>
          </w:p>
        </w:tc>
      </w:tr>
      <w:tr>
        <w:tc>
          <w:tcPr>
            <w:tcW w:type="dxa" w:w="4320"/>
          </w:tcPr>
          <w:p>
            <w:r>
              <w:t>Extraction</w:t>
            </w:r>
          </w:p>
        </w:tc>
        <w:tc>
          <w:tcPr>
            <w:tcW w:type="dxa" w:w="4320"/>
          </w:tcPr>
          <w:p>
            <w:r>
              <w:t>Parse PDFs, extract metadata, identify relationships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Clean text, normalize terminology, generate embeddings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PostgreSQL (metadata), Qdrant (vectors), Neo4j (graph)</w:t>
            </w:r>
          </w:p>
        </w:tc>
      </w:tr>
      <w:tr>
        <w:tc>
          <w:tcPr>
            <w:tcW w:type="dxa" w:w="4320"/>
          </w:tcPr>
          <w:p>
            <w:r>
              <w:t>Updates</w:t>
            </w:r>
          </w:p>
        </w:tc>
        <w:tc>
          <w:tcPr>
            <w:tcW w:type="dxa" w:w="4320"/>
          </w:tcPr>
          <w:p>
            <w:r>
              <w:t>Daily sync with BIS bulletin for new/amended standards</w:t>
            </w:r>
          </w:p>
        </w:tc>
      </w:tr>
    </w:tbl>
    <w:p/>
    <w:p>
      <w:pPr>
        <w:pStyle w:val="Heading1"/>
      </w:pPr>
      <w:r>
        <w:t>5. Government AI Infrastructure</w:t>
      </w:r>
    </w:p>
    <w:p>
      <w:r>
        <w:t>Leveraging existing government AI initiatives: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Initiative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Bhashini</w:t>
            </w:r>
          </w:p>
        </w:tc>
        <w:tc>
          <w:tcPr>
            <w:tcW w:type="dxa" w:w="2880"/>
          </w:tcPr>
          <w:p>
            <w:r>
              <w:t>bhashini.gov.in</w:t>
            </w:r>
          </w:p>
        </w:tc>
        <w:tc>
          <w:tcPr>
            <w:tcW w:type="dxa" w:w="2880"/>
          </w:tcPr>
          <w:p>
            <w:r>
              <w:t>Multilingual NLP for Indian languages</w:t>
            </w:r>
          </w:p>
        </w:tc>
      </w:tr>
      <w:tr>
        <w:tc>
          <w:tcPr>
            <w:tcW w:type="dxa" w:w="2880"/>
          </w:tcPr>
          <w:p>
            <w:r>
              <w:t>IndiaAI/AIRAWAT</w:t>
            </w:r>
          </w:p>
        </w:tc>
        <w:tc>
          <w:tcPr>
            <w:tcW w:type="dxa" w:w="2880"/>
          </w:tcPr>
          <w:p>
            <w:r>
              <w:t>indiaai.gov.in</w:t>
            </w:r>
          </w:p>
        </w:tc>
        <w:tc>
          <w:tcPr>
            <w:tcW w:type="dxa" w:w="2880"/>
          </w:tcPr>
          <w:p>
            <w:r>
              <w:t>GPU compute for ML training</w:t>
            </w:r>
          </w:p>
        </w:tc>
      </w:tr>
      <w:tr>
        <w:tc>
          <w:tcPr>
            <w:tcW w:type="dxa" w:w="2880"/>
          </w:tcPr>
          <w:p>
            <w:r>
              <w:t>DigiLocker</w:t>
            </w:r>
          </w:p>
        </w:tc>
        <w:tc>
          <w:tcPr>
            <w:tcW w:type="dxa" w:w="2880"/>
          </w:tcPr>
          <w:p>
            <w:r>
              <w:t>digilocker.gov.in</w:t>
            </w:r>
          </w:p>
        </w:tc>
        <w:tc>
          <w:tcPr>
            <w:tcW w:type="dxa" w:w="2880"/>
          </w:tcPr>
          <w:p>
            <w:r>
              <w:t>Government SSO authentication</w:t>
            </w:r>
          </w:p>
        </w:tc>
      </w:tr>
      <w:tr>
        <w:tc>
          <w:tcPr>
            <w:tcW w:type="dxa" w:w="2880"/>
          </w:tcPr>
          <w:p>
            <w:r>
              <w:t>NIC Cloud</w:t>
            </w:r>
          </w:p>
        </w:tc>
        <w:tc>
          <w:tcPr>
            <w:tcW w:type="dxa" w:w="2880"/>
          </w:tcPr>
          <w:p>
            <w:r>
              <w:t>cloud.gov.in</w:t>
            </w:r>
          </w:p>
        </w:tc>
        <w:tc>
          <w:tcPr>
            <w:tcW w:type="dxa" w:w="2880"/>
          </w:tcPr>
          <w:p>
            <w:r>
              <w:t>Secure government hosting</w:t>
            </w:r>
          </w:p>
        </w:tc>
      </w:tr>
    </w:tbl>
    <w:p/>
    <w:p>
      <w:pPr>
        <w:pStyle w:val="Heading1"/>
      </w:pPr>
      <w:r>
        <w:t>6. Embedding Strategy</w:t>
      </w:r>
    </w:p>
    <w:p>
      <w:r>
        <w:t>Chunking strategy for standards documents:</w:t>
      </w:r>
    </w:p>
    <w:p>
      <w:pPr>
        <w:pStyle w:val="ListBullet"/>
      </w:pPr>
      <w:r>
        <w:t>Metadata Chunk: title, number, scope, committee</w:t>
      </w:r>
    </w:p>
    <w:p>
      <w:pPr>
        <w:pStyle w:val="ListBullet"/>
      </w:pPr>
      <w:r>
        <w:t>Scope &amp; Definition Chunk: defines applicability</w:t>
      </w:r>
    </w:p>
    <w:p>
      <w:pPr>
        <w:pStyle w:val="ListBullet"/>
      </w:pPr>
      <w:r>
        <w:t>Technical Requirements Chunks: by section (512 tokens, 50 overlap)</w:t>
      </w:r>
    </w:p>
    <w:p>
      <w:pPr>
        <w:pStyle w:val="ListBullet"/>
      </w:pPr>
      <w:r>
        <w:t>Test Methods Chunk: verification procedures</w:t>
      </w:r>
    </w:p>
    <w:p>
      <w:pPr>
        <w:pStyle w:val="ListBullet"/>
      </w:pPr>
      <w:r>
        <w:t>Marking &amp; Packaging Chunk: labeling requirements</w:t>
      </w:r>
    </w:p>
    <w:p>
      <w:pPr>
        <w:pStyle w:val="ListBullet"/>
      </w:pPr>
      <w:r>
        <w:t>Annexures Chunks: additional technical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