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</w:t>
      </w:r>
    </w:p>
    <w:p>
      <w:pPr>
        <w:jc w:val="center"/>
      </w:pPr>
      <w:r>
        <w:t>Threat Model, Measures, and Compliance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Threat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Data Leakage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Tender information exposed</w:t>
            </w:r>
          </w:p>
        </w:tc>
        <w:tc>
          <w:tcPr>
            <w:tcW w:type="dxa" w:w="2160"/>
          </w:tcPr>
          <w:p>
            <w:r>
              <w:t>E2E encryption, no query logging</w:t>
            </w:r>
          </w:p>
        </w:tc>
      </w:tr>
      <w:tr>
        <w:tc>
          <w:tcPr>
            <w:tcW w:type="dxa" w:w="2160"/>
          </w:tcPr>
          <w:p>
            <w:r>
              <w:t>API Abuse/DDoS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Service unavailability</w:t>
            </w:r>
          </w:p>
        </w:tc>
        <w:tc>
          <w:tcPr>
            <w:tcW w:type="dxa" w:w="2160"/>
          </w:tcPr>
          <w:p>
            <w:r>
              <w:t>Rate limiting, API keys, WAF</w:t>
            </w:r>
          </w:p>
        </w:tc>
      </w:tr>
      <w:tr>
        <w:tc>
          <w:tcPr>
            <w:tcW w:type="dxa" w:w="2160"/>
          </w:tcPr>
          <w:p>
            <w:r>
              <w:t>LLM Prompt Injection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Malicious output generation</w:t>
            </w:r>
          </w:p>
        </w:tc>
        <w:tc>
          <w:tcPr>
            <w:tcW w:type="dxa" w:w="2160"/>
          </w:tcPr>
          <w:p>
            <w:r>
              <w:t>Input sanitization, output validation</w:t>
            </w:r>
          </w:p>
        </w:tc>
      </w:tr>
      <w:tr>
        <w:tc>
          <w:tcPr>
            <w:tcW w:type="dxa" w:w="2160"/>
          </w:tcPr>
          <w:p>
            <w:r>
              <w:t>Unauthorized Access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Data breach</w:t>
            </w:r>
          </w:p>
        </w:tc>
        <w:tc>
          <w:tcPr>
            <w:tcW w:type="dxa" w:w="2160"/>
          </w:tcPr>
          <w:p>
            <w:r>
              <w:t>OAuth 2.0, RBAC, MFA</w:t>
            </w:r>
          </w:p>
        </w:tc>
      </w:tr>
      <w:tr>
        <w:tc>
          <w:tcPr>
            <w:tcW w:type="dxa" w:w="2160"/>
          </w:tcPr>
          <w:p>
            <w:r>
              <w:t>Data Poisoning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Corrupted recommendations</w:t>
            </w:r>
          </w:p>
        </w:tc>
        <w:tc>
          <w:tcPr>
            <w:tcW w:type="dxa" w:w="2160"/>
          </w:tcPr>
          <w:p>
            <w:r>
              <w:t>Verified sources only, audit trail</w:t>
            </w:r>
          </w:p>
        </w:tc>
      </w:tr>
      <w:tr>
        <w:tc>
          <w:tcPr>
            <w:tcW w:type="dxa" w:w="2160"/>
          </w:tcPr>
          <w:p>
            <w:r>
              <w:t>Man-in-the-Middle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Data interception</w:t>
            </w:r>
          </w:p>
        </w:tc>
        <w:tc>
          <w:tcPr>
            <w:tcW w:type="dxa" w:w="2160"/>
          </w:tcPr>
          <w:p>
            <w:r>
              <w:t>TLS 1.3, certificate pinning</w:t>
            </w:r>
          </w:p>
        </w:tc>
      </w:tr>
    </w:tbl>
    <w:p/>
    <w:p>
      <w:pPr>
        <w:pStyle w:val="Heading1"/>
      </w:pPr>
      <w:r>
        <w:t>2. Authentication &amp; Authorization</w:t>
      </w:r>
    </w:p>
    <w:p>
      <w:pPr>
        <w:pStyle w:val="ListBullet"/>
      </w:pPr>
      <w:r>
        <w:t>OAuth 2.0 with government SSO (DigiLocker/eSign)</w:t>
      </w:r>
    </w:p>
    <w:p>
      <w:pPr>
        <w:pStyle w:val="ListBullet"/>
      </w:pPr>
      <w:r>
        <w:t>Role-Based Access Control (RBAC) with defined permission levels</w:t>
      </w:r>
    </w:p>
    <w:p>
      <w:pPr>
        <w:pStyle w:val="ListBullet"/>
      </w:pPr>
      <w:r>
        <w:t>API key management for third-party integrations</w:t>
      </w:r>
    </w:p>
    <w:p>
      <w:pPr>
        <w:pStyle w:val="ListBullet"/>
      </w:pPr>
      <w:r>
        <w:t>Session timeout and secure token handling</w:t>
      </w:r>
    </w:p>
    <w:p>
      <w:pPr>
        <w:pStyle w:val="ListBullet"/>
      </w:pPr>
      <w:r>
        <w:t>Multi-factor authentication for admin access</w:t>
      </w:r>
    </w:p>
    <w:p>
      <w:pPr>
        <w:pStyle w:val="Heading1"/>
      </w:pPr>
      <w:r>
        <w:t>3. Data Protection</w:t>
      </w:r>
    </w:p>
    <w:p>
      <w:pPr>
        <w:pStyle w:val="Heading2"/>
      </w:pPr>
      <w:r>
        <w:t>3.1 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In Transit</w:t>
            </w:r>
          </w:p>
        </w:tc>
        <w:tc>
          <w:tcPr>
            <w:tcW w:type="dxa" w:w="4320"/>
          </w:tcPr>
          <w:p>
            <w:r>
              <w:t>TLS 1.3 for all API communications</w:t>
            </w:r>
          </w:p>
        </w:tc>
      </w:tr>
      <w:tr>
        <w:tc>
          <w:tcPr>
            <w:tcW w:type="dxa" w:w="4320"/>
          </w:tcPr>
          <w:p>
            <w:r>
              <w:t>At Rest</w:t>
            </w:r>
          </w:p>
        </w:tc>
        <w:tc>
          <w:tcPr>
            <w:tcW w:type="dxa" w:w="4320"/>
          </w:tcPr>
          <w:p>
            <w:r>
              <w:t>AES-256 encryption for stored data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Encrypted connections, field-level encryption for sensitive data</w:t>
            </w:r>
          </w:p>
        </w:tc>
      </w:tr>
    </w:tbl>
    <w:p/>
    <w:p>
      <w:pPr>
        <w:pStyle w:val="Heading2"/>
      </w:pPr>
      <w:r>
        <w:t>3.2 Data Handling</w:t>
      </w:r>
    </w:p>
    <w:p>
      <w:pPr>
        <w:pStyle w:val="ListBullet"/>
      </w:pPr>
      <w:r>
        <w:t>No PII stored beyond session requirements</w:t>
      </w:r>
    </w:p>
    <w:p>
      <w:pPr>
        <w:pStyle w:val="ListBullet"/>
      </w:pPr>
      <w:r>
        <w:t>Tender documents processed in memory only - never persisted</w:t>
      </w:r>
    </w:p>
    <w:p>
      <w:pPr>
        <w:pStyle w:val="ListBullet"/>
      </w:pPr>
      <w:r>
        <w:t>Query logs anonymized and aggregated for analytics</w:t>
      </w:r>
    </w:p>
    <w:p>
      <w:pPr>
        <w:pStyle w:val="ListBullet"/>
      </w:pPr>
      <w:r>
        <w:t>Automatic data retention policy enforcement</w:t>
      </w:r>
    </w:p>
    <w:p>
      <w:pPr>
        <w:pStyle w:val="ListBullet"/>
      </w:pPr>
      <w:r>
        <w:t>Secure deletion procedures for all temporary data</w:t>
      </w:r>
    </w:p>
    <w:p>
      <w:pPr>
        <w:pStyle w:val="Heading1"/>
      </w:pPr>
      <w:r>
        <w:t>4. Government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GIGW</w:t>
            </w:r>
          </w:p>
        </w:tc>
        <w:tc>
          <w:tcPr>
            <w:tcW w:type="dxa" w:w="4320"/>
          </w:tcPr>
          <w:p>
            <w:r>
              <w:t>Guidelines for Indian Government Websites - UI/UX standards</w:t>
            </w:r>
          </w:p>
        </w:tc>
      </w:tr>
      <w:tr>
        <w:tc>
          <w:tcPr>
            <w:tcW w:type="dxa" w:w="4320"/>
          </w:tcPr>
          <w:p>
            <w:r>
              <w:t>IT Act 2000</w:t>
            </w:r>
          </w:p>
        </w:tc>
        <w:tc>
          <w:tcPr>
            <w:tcW w:type="dxa" w:w="4320"/>
          </w:tcPr>
          <w:p>
            <w:r>
              <w:t>Information Technology Act compliance</w:t>
            </w:r>
          </w:p>
        </w:tc>
      </w:tr>
      <w:tr>
        <w:tc>
          <w:tcPr>
            <w:tcW w:type="dxa" w:w="4320"/>
          </w:tcPr>
          <w:p>
            <w:r>
              <w:t>Data Residency</w:t>
            </w:r>
          </w:p>
        </w:tc>
        <w:tc>
          <w:tcPr>
            <w:tcW w:type="dxa" w:w="4320"/>
          </w:tcPr>
          <w:p>
            <w:r>
              <w:t>All data stored within India (mandatory)</w:t>
            </w:r>
          </w:p>
        </w:tc>
      </w:tr>
      <w:tr>
        <w:tc>
          <w:tcPr>
            <w:tcW w:type="dxa" w:w="4320"/>
          </w:tcPr>
          <w:p>
            <w:r>
              <w:t>MeitY Guidelines</w:t>
            </w:r>
          </w:p>
        </w:tc>
        <w:tc>
          <w:tcPr>
            <w:tcW w:type="dxa" w:w="4320"/>
          </w:tcPr>
          <w:p>
            <w:r>
              <w:t>Ministry guidelines for government software</w:t>
            </w:r>
          </w:p>
        </w:tc>
      </w:tr>
      <w:tr>
        <w:tc>
          <w:tcPr>
            <w:tcW w:type="dxa" w:w="4320"/>
          </w:tcPr>
          <w:p>
            <w:r>
              <w:t>CERT-In</w:t>
            </w:r>
          </w:p>
        </w:tc>
        <w:tc>
          <w:tcPr>
            <w:tcW w:type="dxa" w:w="4320"/>
          </w:tcPr>
          <w:p>
            <w:r>
              <w:t>Incident reporting requirements</w:t>
            </w:r>
          </w:p>
        </w:tc>
      </w:tr>
    </w:tbl>
    <w:p/>
    <w:p>
      <w:pPr>
        <w:pStyle w:val="Heading1"/>
      </w:pPr>
      <w:r>
        <w:t>5. LLM Security</w:t>
      </w:r>
    </w:p>
    <w:p>
      <w:pPr>
        <w:pStyle w:val="ListBullet"/>
      </w:pPr>
      <w:r>
        <w:t>Input sanitization before all LLM API calls</w:t>
      </w:r>
    </w:p>
    <w:p>
      <w:pPr>
        <w:pStyle w:val="ListBullet"/>
      </w:pPr>
      <w:r>
        <w:t>Output validation and filtering for unexpected responses</w:t>
      </w:r>
    </w:p>
    <w:p>
      <w:pPr>
        <w:pStyle w:val="ListBullet"/>
      </w:pPr>
      <w:r>
        <w:t>Self-hosted LLM option (Llama) for sensitive deployments</w:t>
      </w:r>
    </w:p>
    <w:p>
      <w:pPr>
        <w:pStyle w:val="ListBullet"/>
      </w:pPr>
      <w:r>
        <w:t>No training on user queries or tender data</w:t>
      </w:r>
    </w:p>
    <w:p>
      <w:pPr>
        <w:pStyle w:val="ListBullet"/>
      </w:pPr>
      <w:r>
        <w:t>Prompt injection detection and blocking</w:t>
      </w:r>
    </w:p>
    <w:p>
      <w:pPr>
        <w:pStyle w:val="ListBullet"/>
      </w:pPr>
      <w:r>
        <w:t>Rate limiting on LLM calls to prevent abuse</w:t>
      </w:r>
    </w:p>
    <w:p>
      <w:pPr>
        <w:pStyle w:val="Heading1"/>
      </w:pPr>
      <w:r>
        <w:t>6. Security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VAPT</w:t>
            </w:r>
          </w:p>
        </w:tc>
        <w:tc>
          <w:tcPr>
            <w:tcW w:type="dxa" w:w="4320"/>
          </w:tcPr>
          <w:p>
            <w:r>
              <w:t>Regular Vulnerability Assessment and Penetration Testing</w:t>
            </w:r>
          </w:p>
        </w:tc>
      </w:tr>
      <w:tr>
        <w:tc>
          <w:tcPr>
            <w:tcW w:type="dxa" w:w="4320"/>
          </w:tcPr>
          <w:p>
            <w:r>
              <w:t>Audit Logging</w:t>
            </w:r>
          </w:p>
        </w:tc>
        <w:tc>
          <w:tcPr>
            <w:tcW w:type="dxa" w:w="4320"/>
          </w:tcPr>
          <w:p>
            <w:r>
              <w:t>Complete trail of all sensitive operations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24/7 security monitoring and alerting</w:t>
            </w:r>
          </w:p>
        </w:tc>
      </w:tr>
      <w:tr>
        <w:tc>
          <w:tcPr>
            <w:tcW w:type="dxa" w:w="4320"/>
          </w:tcPr>
          <w:p>
            <w:r>
              <w:t>Incident Response</w:t>
            </w:r>
          </w:p>
        </w:tc>
        <w:tc>
          <w:tcPr>
            <w:tcW w:type="dxa" w:w="4320"/>
          </w:tcPr>
          <w:p>
            <w:r>
              <w:t>Defined playbooks for security incidents</w:t>
            </w:r>
          </w:p>
        </w:tc>
      </w:tr>
      <w:tr>
        <w:tc>
          <w:tcPr>
            <w:tcW w:type="dxa" w:w="4320"/>
          </w:tcPr>
          <w:p>
            <w:r>
              <w:t>Access Reviews</w:t>
            </w:r>
          </w:p>
        </w:tc>
        <w:tc>
          <w:tcPr>
            <w:tcW w:type="dxa" w:w="4320"/>
          </w:tcPr>
          <w:p>
            <w:r>
              <w:t>Quarterly review of access permissions</w:t>
            </w:r>
          </w:p>
        </w:tc>
      </w:tr>
    </w:tbl>
    <w:p/>
    <w:p>
      <w:pPr>
        <w:pStyle w:val="Heading1"/>
      </w:pPr>
      <w:r>
        <w:t>7. Deployment Security</w:t>
      </w:r>
    </w:p>
    <w:p>
      <w:pPr>
        <w:pStyle w:val="ListBullet"/>
      </w:pPr>
      <w:r>
        <w:t>Container security scanning before deployment</w:t>
      </w:r>
    </w:p>
    <w:p>
      <w:pPr>
        <w:pStyle w:val="ListBullet"/>
      </w:pPr>
      <w:r>
        <w:t>Network segmentation and firewall rules</w:t>
      </w:r>
    </w:p>
    <w:p>
      <w:pPr>
        <w:pStyle w:val="ListBullet"/>
      </w:pPr>
      <w:r>
        <w:t>Secrets management via HashiCorp Vault or AWS Secrets Manager</w:t>
      </w:r>
    </w:p>
    <w:p>
      <w:pPr>
        <w:pStyle w:val="ListBullet"/>
      </w:pPr>
      <w:r>
        <w:t>Immutable infrastructure with automated patching</w:t>
      </w:r>
    </w:p>
    <w:p>
      <w:pPr>
        <w:pStyle w:val="ListBullet"/>
      </w:pPr>
      <w:r>
        <w:t>Disaster recovery with encrypted backups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