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Engineering Decisions</w:t>
      </w:r>
    </w:p>
    <w:p>
      <w:pPr>
        <w:jc w:val="center"/>
      </w:pPr>
      <w:r>
        <w:t>Key Trade-offs and Technical Choices</w:t>
      </w:r>
    </w:p>
    <w:p>
      <w:pPr>
        <w:jc w:val="center"/>
      </w:pPr>
      <w:r>
        <w:rPr>
          <w:i/>
        </w:rPr>
        <w:t>SIH 2024 | Problem ID: 26108 | Ministry of Consumer Affairs</w:t>
      </w:r>
    </w:p>
    <w:p/>
    <w:p>
      <w:pPr>
        <w:pStyle w:val="Heading1"/>
      </w:pPr>
      <w:r>
        <w:t>1. Key Trade-offs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Choice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160"/>
          </w:tcPr>
          <w:p>
            <w:r>
              <w:t>Embedding Model</w:t>
            </w:r>
          </w:p>
        </w:tc>
        <w:tc>
          <w:tcPr>
            <w:tcW w:type="dxa" w:w="2160"/>
          </w:tcPr>
          <w:p>
            <w:r>
              <w:t>OpenAI vs Self-hosted</w:t>
            </w:r>
          </w:p>
        </w:tc>
        <w:tc>
          <w:tcPr>
            <w:tcW w:type="dxa" w:w="2160"/>
          </w:tcPr>
          <w:p>
            <w:r>
              <w:t>Self-hosted (BGE)</w:t>
            </w:r>
          </w:p>
        </w:tc>
        <w:tc>
          <w:tcPr>
            <w:tcW w:type="dxa" w:w="2160"/>
          </w:tcPr>
          <w:p>
            <w:r>
              <w:t>Data sovereignty, no API dependency</w:t>
            </w:r>
          </w:p>
        </w:tc>
      </w:tr>
      <w:tr>
        <w:tc>
          <w:tcPr>
            <w:tcW w:type="dxa" w:w="2160"/>
          </w:tcPr>
          <w:p>
            <w:r>
              <w:t>LLM</w:t>
            </w:r>
          </w:p>
        </w:tc>
        <w:tc>
          <w:tcPr>
            <w:tcW w:type="dxa" w:w="2160"/>
          </w:tcPr>
          <w:p>
            <w:r>
              <w:t>Claude API vs Llama</w:t>
            </w:r>
          </w:p>
        </w:tc>
        <w:tc>
          <w:tcPr>
            <w:tcW w:type="dxa" w:w="2160"/>
          </w:tcPr>
          <w:p>
            <w:r>
              <w:t>Hybrid approach</w:t>
            </w:r>
          </w:p>
        </w:tc>
        <w:tc>
          <w:tcPr>
            <w:tcW w:type="dxa" w:w="2160"/>
          </w:tcPr>
          <w:p>
            <w:r>
              <w:t>Accuracy with cost fallback</w:t>
            </w:r>
          </w:p>
        </w:tc>
      </w:tr>
      <w:tr>
        <w:tc>
          <w:tcPr>
            <w:tcW w:type="dxa" w:w="2160"/>
          </w:tcPr>
          <w:p>
            <w:r>
              <w:t>Vector DB</w:t>
            </w:r>
          </w:p>
        </w:tc>
        <w:tc>
          <w:tcPr>
            <w:tcW w:type="dxa" w:w="2160"/>
          </w:tcPr>
          <w:p>
            <w:r>
              <w:t>Pinecone vs Qdrant</w:t>
            </w:r>
          </w:p>
        </w:tc>
        <w:tc>
          <w:tcPr>
            <w:tcW w:type="dxa" w:w="2160"/>
          </w:tcPr>
          <w:p>
            <w:r>
              <w:t>Qdrant</w:t>
            </w:r>
          </w:p>
        </w:tc>
        <w:tc>
          <w:tcPr>
            <w:tcW w:type="dxa" w:w="2160"/>
          </w:tcPr>
          <w:p>
            <w:r>
              <w:t>Self-hosted option, no vendor lock-in</w:t>
            </w:r>
          </w:p>
        </w:tc>
      </w:tr>
      <w:tr>
        <w:tc>
          <w:tcPr>
            <w:tcW w:type="dxa" w:w="2160"/>
          </w:tcPr>
          <w:p>
            <w:r>
              <w:t>Graph DB</w:t>
            </w:r>
          </w:p>
        </w:tc>
        <w:tc>
          <w:tcPr>
            <w:tcW w:type="dxa" w:w="2160"/>
          </w:tcPr>
          <w:p>
            <w:r>
              <w:t>Neo4j vs ArangoDB</w:t>
            </w:r>
          </w:p>
        </w:tc>
        <w:tc>
          <w:tcPr>
            <w:tcW w:type="dxa" w:w="2160"/>
          </w:tcPr>
          <w:p>
            <w:r>
              <w:t>Neo4j</w:t>
            </w:r>
          </w:p>
        </w:tc>
        <w:tc>
          <w:tcPr>
            <w:tcW w:type="dxa" w:w="2160"/>
          </w:tcPr>
          <w:p>
            <w:r>
              <w:t>Mature ecosystem, Cypher queries</w:t>
            </w:r>
          </w:p>
        </w:tc>
      </w:tr>
      <w:tr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Pure vector vs Hybrid</w:t>
            </w:r>
          </w:p>
        </w:tc>
        <w:tc>
          <w:tcPr>
            <w:tcW w:type="dxa" w:w="2160"/>
          </w:tcPr>
          <w:p>
            <w:r>
              <w:t>Hybrid</w:t>
            </w:r>
          </w:p>
        </w:tc>
        <w:tc>
          <w:tcPr>
            <w:tcW w:type="dxa" w:w="2160"/>
          </w:tcPr>
          <w:p>
            <w:r>
              <w:t>Keywords matter for IS numbers</w:t>
            </w:r>
          </w:p>
        </w:tc>
      </w:tr>
      <w:tr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React vs Next.js</w:t>
            </w:r>
          </w:p>
        </w:tc>
        <w:tc>
          <w:tcPr>
            <w:tcW w:type="dxa" w:w="2160"/>
          </w:tcPr>
          <w:p>
            <w:r>
              <w:t>Next.js</w:t>
            </w:r>
          </w:p>
        </w:tc>
        <w:tc>
          <w:tcPr>
            <w:tcW w:type="dxa" w:w="2160"/>
          </w:tcPr>
          <w:p>
            <w:r>
              <w:t>SSR for SEO, API routes</w:t>
            </w:r>
          </w:p>
        </w:tc>
      </w:tr>
    </w:tbl>
    <w:p/>
    <w:p>
      <w:pPr>
        <w:pStyle w:val="Heading1"/>
      </w:pPr>
      <w:r>
        <w:t>2. Why Semantic Search Over Keyword?</w:t>
      </w:r>
    </w:p>
    <w:p>
      <w:r>
        <w:t>Example Query: 'Corrosion resistant pipes for coastal area water supply'</w:t>
      </w:r>
    </w:p>
    <w:p>
      <w:pPr>
        <w:pStyle w:val="Heading2"/>
      </w:pPr>
      <w:r>
        <w:t>2.1 Keyword Search Results</w:t>
      </w:r>
    </w:p>
    <w:p>
      <w:pPr>
        <w:pStyle w:val="ListBullet"/>
      </w:pPr>
      <w:r>
        <w:t>Matches 'pipe', 'water' literally</w:t>
      </w:r>
    </w:p>
    <w:p>
      <w:pPr>
        <w:pStyle w:val="ListBullet"/>
      </w:pPr>
      <w:r>
        <w:t>Returns generic pipe standards</w:t>
      </w:r>
    </w:p>
    <w:p>
      <w:pPr>
        <w:pStyle w:val="ListBullet"/>
      </w:pPr>
      <w:r>
        <w:t>Misses context of 'coastal' (marine environment)</w:t>
      </w:r>
    </w:p>
    <w:p>
      <w:pPr>
        <w:pStyle w:val="ListBullet"/>
      </w:pPr>
      <w:r>
        <w:t>Ignores 'corrosion resistant' requirement</w:t>
      </w:r>
    </w:p>
    <w:p>
      <w:pPr>
        <w:pStyle w:val="ListBullet"/>
      </w:pPr>
      <w:r>
        <w:t>User must manually filter 500+ results</w:t>
      </w:r>
    </w:p>
    <w:p>
      <w:pPr>
        <w:pStyle w:val="Heading2"/>
      </w:pPr>
      <w:r>
        <w:t>2.2 Semantic Search Results</w:t>
      </w:r>
    </w:p>
    <w:p>
      <w:pPr>
        <w:pStyle w:val="ListBullet"/>
      </w:pPr>
      <w:r>
        <w:t>IS 4736 - Hot dip zinc coating (coastal corrosion protection)</w:t>
      </w:r>
    </w:p>
    <w:p>
      <w:pPr>
        <w:pStyle w:val="ListBullet"/>
      </w:pPr>
      <w:r>
        <w:t>IS 15778 - CPVC pipes (corrosion resistant material)</w:t>
      </w:r>
    </w:p>
    <w:p>
      <w:pPr>
        <w:pStyle w:val="ListBullet"/>
      </w:pPr>
      <w:r>
        <w:t>IS 10500 - Drinking water specification (potable water context)</w:t>
      </w:r>
    </w:p>
    <w:p>
      <w:pPr>
        <w:pStyle w:val="ListBullet"/>
      </w:pPr>
      <w:r>
        <w:t>IS 4984 - HDPE pipes (alternative corrosion-resistant option)</w:t>
      </w:r>
    </w:p>
    <w:p>
      <w:pPr>
        <w:pStyle w:val="Heading1"/>
      </w:pPr>
      <w:r>
        <w:t>3. RAG vs Fine-tuning</w:t>
      </w:r>
    </w:p>
    <w:p>
      <w:r>
        <w:t>We chose RAG (Retrieval Augmented Generation) over fine-tuning:</w:t>
      </w:r>
    </w:p>
    <w:p>
      <w:pPr>
        <w:pStyle w:val="ListBullet"/>
      </w:pPr>
      <w:r>
        <w:t>Standards change frequently - RAG allows real-time updates</w:t>
      </w:r>
    </w:p>
    <w:p>
      <w:pPr>
        <w:pStyle w:val="ListBullet"/>
      </w:pPr>
      <w:r>
        <w:t>No need to retrain model when standards are added/revised</w:t>
      </w:r>
    </w:p>
    <w:p>
      <w:pPr>
        <w:pStyle w:val="ListBullet"/>
      </w:pPr>
      <w:r>
        <w:t>Citations are natural - every recommendation traceable to source</w:t>
      </w:r>
    </w:p>
    <w:p>
      <w:pPr>
        <w:pStyle w:val="ListBullet"/>
      </w:pPr>
      <w:r>
        <w:t>Lower compute requirements for deployment</w:t>
      </w:r>
    </w:p>
    <w:p>
      <w:pPr>
        <w:pStyle w:val="ListBullet"/>
      </w:pPr>
      <w:r>
        <w:t>Reduces hallucination by grounding in actual documents</w:t>
      </w:r>
    </w:p>
    <w:p>
      <w:pPr>
        <w:pStyle w:val="Heading1"/>
      </w:pPr>
      <w:r>
        <w:t>4. Chunking Strategy</w:t>
      </w:r>
    </w:p>
    <w:p>
      <w:r>
        <w:t>Standards documents chunked for optimal retrieval: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Chunk Size</w:t>
            </w:r>
          </w:p>
        </w:tc>
        <w:tc>
          <w:tcPr>
            <w:tcW w:type="dxa" w:w="2880"/>
          </w:tcPr>
          <w:p>
            <w:r>
              <w:t>512 tokens</w:t>
            </w:r>
          </w:p>
        </w:tc>
        <w:tc>
          <w:tcPr>
            <w:tcW w:type="dxa" w:w="2880"/>
          </w:tcPr>
          <w:p>
            <w:r>
              <w:t>Balances context and specificity</w:t>
            </w:r>
          </w:p>
        </w:tc>
      </w:tr>
      <w:tr>
        <w:tc>
          <w:tcPr>
            <w:tcW w:type="dxa" w:w="2880"/>
          </w:tcPr>
          <w:p>
            <w:r>
              <w:t>Overlap</w:t>
            </w:r>
          </w:p>
        </w:tc>
        <w:tc>
          <w:tcPr>
            <w:tcW w:type="dxa" w:w="2880"/>
          </w:tcPr>
          <w:p>
            <w:r>
              <w:t>50 tokens</w:t>
            </w:r>
          </w:p>
        </w:tc>
        <w:tc>
          <w:tcPr>
            <w:tcW w:type="dxa" w:w="2880"/>
          </w:tcPr>
          <w:p>
            <w:r>
              <w:t>Ensures context continuity</w:t>
            </w:r>
          </w:p>
        </w:tc>
      </w:tr>
      <w:tr>
        <w:tc>
          <w:tcPr>
            <w:tcW w:type="dxa" w:w="2880"/>
          </w:tcPr>
          <w:p>
            <w:r>
              <w:t>Boundary Preservation</w:t>
            </w:r>
          </w:p>
        </w:tc>
        <w:tc>
          <w:tcPr>
            <w:tcW w:type="dxa" w:w="2880"/>
          </w:tcPr>
          <w:p>
            <w:r>
              <w:t>Section-based</w:t>
            </w:r>
          </w:p>
        </w:tc>
        <w:tc>
          <w:tcPr>
            <w:tcW w:type="dxa" w:w="2880"/>
          </w:tcPr>
          <w:p>
            <w:r>
              <w:t>Maintains semantic coherence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IS number in each chunk</w:t>
            </w:r>
          </w:p>
        </w:tc>
        <w:tc>
          <w:tcPr>
            <w:tcW w:type="dxa" w:w="2880"/>
          </w:tcPr>
          <w:p>
            <w:r>
              <w:t>Enables source attribution</w:t>
            </w:r>
          </w:p>
        </w:tc>
      </w:tr>
    </w:tbl>
    <w:p/>
    <w:p>
      <w:pPr>
        <w:pStyle w:val="Heading1"/>
      </w:pPr>
      <w:r>
        <w:t>5. Graph vs Relational for Relationships</w:t>
      </w:r>
    </w:p>
    <w:p>
      <w:r>
        <w:t>Neo4j chosen over PostgreSQL foreign keys:</w:t>
      </w:r>
    </w:p>
    <w:p>
      <w:pPr>
        <w:pStyle w:val="ListBullet"/>
      </w:pPr>
      <w:r>
        <w:t>Standards relationships are naturally graph-shaped</w:t>
      </w:r>
    </w:p>
    <w:p>
      <w:pPr>
        <w:pStyle w:val="ListBullet"/>
      </w:pPr>
      <w:r>
        <w:t>Multi-hop traversals (standard → reference → reference) are native</w:t>
      </w:r>
    </w:p>
    <w:p>
      <w:pPr>
        <w:pStyle w:val="ListBullet"/>
      </w:pPr>
      <w:r>
        <w:t>Cypher queries are intuitive for relationship exploration</w:t>
      </w:r>
    </w:p>
    <w:p>
      <w:pPr>
        <w:pStyle w:val="ListBullet"/>
      </w:pPr>
      <w:r>
        <w:t>Visualization of standards network is built-in</w:t>
      </w:r>
    </w:p>
    <w:p>
      <w:pPr>
        <w:pStyle w:val="ListBullet"/>
      </w:pPr>
      <w:r>
        <w:t>Path-finding algorithms for related standards</w:t>
      </w:r>
    </w:p>
    <w:p>
      <w:pPr>
        <w:pStyle w:val="Heading1"/>
      </w:pPr>
      <w:r>
        <w:t>6. Multilingual Approach</w:t>
      </w:r>
    </w:p>
    <w:p>
      <w:r>
        <w:t>Translation-first vs multilingual embeddings: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Choice/Details</w:t>
            </w:r>
          </w:p>
        </w:tc>
      </w:tr>
      <w:tr>
        <w:tc>
          <w:tcPr>
            <w:tcW w:type="dxa" w:w="4320"/>
          </w:tcPr>
          <w:p>
            <w:r>
              <w:t>Approach</w:t>
            </w:r>
          </w:p>
        </w:tc>
        <w:tc>
          <w:tcPr>
            <w:tcW w:type="dxa" w:w="4320"/>
          </w:tcPr>
          <w:p>
            <w:r>
              <w:t>Translate to English, then embed + search</w:t>
            </w:r>
          </w:p>
        </w:tc>
      </w:tr>
      <w:tr>
        <w:tc>
          <w:tcPr>
            <w:tcW w:type="dxa" w:w="4320"/>
          </w:tcPr>
          <w:p>
            <w:r>
              <w:t>Translation</w:t>
            </w:r>
          </w:p>
        </w:tc>
        <w:tc>
          <w:tcPr>
            <w:tcW w:type="dxa" w:w="4320"/>
          </w:tcPr>
          <w:p>
            <w:r>
              <w:t>Bhashini API for government alignment</w:t>
            </w:r>
          </w:p>
        </w:tc>
      </w:tr>
      <w:tr>
        <w:tc>
          <w:tcPr>
            <w:tcW w:type="dxa" w:w="4320"/>
          </w:tcPr>
          <w:p>
            <w:r>
              <w:t>Fallback</w:t>
            </w:r>
          </w:p>
        </w:tc>
        <w:tc>
          <w:tcPr>
            <w:tcW w:type="dxa" w:w="4320"/>
          </w:tcPr>
          <w:p>
            <w:r>
              <w:t>IndicTrans2 for self-hosted option</w:t>
            </w:r>
          </w:p>
        </w:tc>
      </w:tr>
      <w:tr>
        <w:tc>
          <w:tcPr>
            <w:tcW w:type="dxa" w:w="4320"/>
          </w:tcPr>
          <w:p>
            <w:r>
              <w:t>Rationale</w:t>
            </w:r>
          </w:p>
        </w:tc>
        <w:tc>
          <w:tcPr>
            <w:tcW w:type="dxa" w:w="4320"/>
          </w:tcPr>
          <w:p>
            <w:r>
              <w:t>Standards corpus is in English; translation ensures accuracy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Results displayed in original language with English details</w:t>
            </w:r>
          </w:p>
        </w:tc>
      </w:tr>
    </w:tbl>
    <w:p/>
    <w:p>
      <w:pPr>
        <w:pStyle w:val="Heading1"/>
      </w:pPr>
      <w:r>
        <w:t>7. API-First Design</w:t>
      </w:r>
    </w:p>
    <w:p>
      <w:r>
        <w:t>Benefits of API-first architecture:</w:t>
      </w:r>
    </w:p>
    <w:p>
      <w:pPr>
        <w:pStyle w:val="ListBullet"/>
      </w:pPr>
      <w:r>
        <w:t>GeM integration without UI dependency</w:t>
      </w:r>
    </w:p>
    <w:p>
      <w:pPr>
        <w:pStyle w:val="ListBullet"/>
      </w:pPr>
      <w:r>
        <w:t>Mobile app can use same backend</w:t>
      </w:r>
    </w:p>
    <w:p>
      <w:pPr>
        <w:pStyle w:val="ListBullet"/>
      </w:pPr>
      <w:r>
        <w:t>Third-party ERP integrations enabled</w:t>
      </w:r>
    </w:p>
    <w:p>
      <w:pPr>
        <w:pStyle w:val="ListBullet"/>
      </w:pPr>
      <w:r>
        <w:t>Clear contract between frontend and backend</w:t>
      </w:r>
    </w:p>
    <w:p>
      <w:pPr>
        <w:pStyle w:val="ListBullet"/>
      </w:pPr>
      <w:r>
        <w:t>Easier testing and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