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Communication</w:t>
      </w:r>
    </w:p>
    <w:p>
      <w:pPr>
        <w:jc w:val="center"/>
      </w:pPr>
      <w:r>
        <w:t>Stakeholder Management and Change Strategy</w:t>
      </w:r>
    </w:p>
    <w:p>
      <w:pPr>
        <w:jc w:val="center"/>
      </w:pPr>
      <w:r>
        <w:rPr>
          <w:i/>
        </w:rPr>
        <w:t>SIH 2024 | Problem ID: 26108 | Ministry of Consumer Affairs</w:t>
      </w:r>
    </w:p>
    <w:p/>
    <w:p>
      <w:pPr>
        <w:pStyle w:val="Heading1"/>
      </w:pPr>
      <w:r>
        <w:t>1. Stakeholder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Engagement Strategy</w:t>
            </w:r>
          </w:p>
        </w:tc>
      </w:tr>
      <w:tr>
        <w:tc>
          <w:tcPr>
            <w:tcW w:type="dxa" w:w="2880"/>
          </w:tcPr>
          <w:p>
            <w:r>
              <w:t>BIS</w:t>
            </w:r>
          </w:p>
        </w:tc>
        <w:tc>
          <w:tcPr>
            <w:tcW w:type="dxa" w:w="2880"/>
          </w:tcPr>
          <w:p>
            <w:r>
              <w:t>Data partner, standards authority</w:t>
            </w:r>
          </w:p>
        </w:tc>
        <w:tc>
          <w:tcPr>
            <w:tcW w:type="dxa" w:w="2880"/>
          </w:tcPr>
          <w:p>
            <w:r>
              <w:t>MoU for data access, co-branding</w:t>
            </w:r>
          </w:p>
        </w:tc>
      </w:tr>
      <w:tr>
        <w:tc>
          <w:tcPr>
            <w:tcW w:type="dxa" w:w="2880"/>
          </w:tcPr>
          <w:p>
            <w:r>
              <w:t>GeM Portal</w:t>
            </w:r>
          </w:p>
        </w:tc>
        <w:tc>
          <w:tcPr>
            <w:tcW w:type="dxa" w:w="2880"/>
          </w:tcPr>
          <w:p>
            <w:r>
              <w:t>Integration partner</w:t>
            </w:r>
          </w:p>
        </w:tc>
        <w:tc>
          <w:tcPr>
            <w:tcW w:type="dxa" w:w="2880"/>
          </w:tcPr>
          <w:p>
            <w:r>
              <w:t>API integration, joint pilot program</w:t>
            </w:r>
          </w:p>
        </w:tc>
      </w:tr>
      <w:tr>
        <w:tc>
          <w:tcPr>
            <w:tcW w:type="dxa" w:w="2880"/>
          </w:tcPr>
          <w:p>
            <w:r>
              <w:t>DoCA</w:t>
            </w:r>
          </w:p>
        </w:tc>
        <w:tc>
          <w:tcPr>
            <w:tcW w:type="dxa" w:w="2880"/>
          </w:tcPr>
          <w:p>
            <w:r>
              <w:t>Problem owner, ministry sponsor</w:t>
            </w:r>
          </w:p>
        </w:tc>
        <w:tc>
          <w:tcPr>
            <w:tcW w:type="dxa" w:w="2880"/>
          </w:tcPr>
          <w:p>
            <w:r>
              <w:t>Monthly reviews, compliance reports</w:t>
            </w:r>
          </w:p>
        </w:tc>
      </w:tr>
      <w:tr>
        <w:tc>
          <w:tcPr>
            <w:tcW w:type="dxa" w:w="2880"/>
          </w:tcPr>
          <w:p>
            <w:r>
              <w:t>NIC</w:t>
            </w:r>
          </w:p>
        </w:tc>
        <w:tc>
          <w:tcPr>
            <w:tcW w:type="dxa" w:w="2880"/>
          </w:tcPr>
          <w:p>
            <w:r>
              <w:t>Hosting and security partner</w:t>
            </w:r>
          </w:p>
        </w:tc>
        <w:tc>
          <w:tcPr>
            <w:tcW w:type="dxa" w:w="2880"/>
          </w:tcPr>
          <w:p>
            <w:r>
              <w:t>Technical integration, security audit</w:t>
            </w:r>
          </w:p>
        </w:tc>
      </w:tr>
      <w:tr>
        <w:tc>
          <w:tcPr>
            <w:tcW w:type="dxa" w:w="2880"/>
          </w:tcPr>
          <w:p>
            <w:r>
              <w:t>Procurement Officers</w:t>
            </w:r>
          </w:p>
        </w:tc>
        <w:tc>
          <w:tcPr>
            <w:tcW w:type="dxa" w:w="2880"/>
          </w:tcPr>
          <w:p>
            <w:r>
              <w:t>End users</w:t>
            </w:r>
          </w:p>
        </w:tc>
        <w:tc>
          <w:tcPr>
            <w:tcW w:type="dxa" w:w="2880"/>
          </w:tcPr>
          <w:p>
            <w:r>
              <w:t>Training sessions, feedback collection</w:t>
            </w:r>
          </w:p>
        </w:tc>
      </w:tr>
      <w:tr>
        <w:tc>
          <w:tcPr>
            <w:tcW w:type="dxa" w:w="2880"/>
          </w:tcPr>
          <w:p>
            <w:r>
              <w:t>Vendors/Suppliers</w:t>
            </w:r>
          </w:p>
        </w:tc>
        <w:tc>
          <w:tcPr>
            <w:tcW w:type="dxa" w:w="2880"/>
          </w:tcPr>
          <w:p>
            <w:r>
              <w:t>Secondary users</w:t>
            </w:r>
          </w:p>
        </w:tc>
        <w:tc>
          <w:tcPr>
            <w:tcW w:type="dxa" w:w="2880"/>
          </w:tcPr>
          <w:p>
            <w:r>
              <w:t>User guides, support channel</w:t>
            </w:r>
          </w:p>
        </w:tc>
      </w:tr>
    </w:tbl>
    <w:p/>
    <w:p>
      <w:pPr>
        <w:pStyle w:val="Heading1"/>
      </w:pPr>
      <w:r>
        <w:t>2. Communication Channels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Channel/Frequency</w:t>
            </w:r>
          </w:p>
        </w:tc>
      </w:tr>
      <w:tr>
        <w:tc>
          <w:tcPr>
            <w:tcW w:type="dxa" w:w="4320"/>
          </w:tcPr>
          <w:p>
            <w:r>
              <w:t>Ministry Updates</w:t>
            </w:r>
          </w:p>
        </w:tc>
        <w:tc>
          <w:tcPr>
            <w:tcW w:type="dxa" w:w="4320"/>
          </w:tcPr>
          <w:p>
            <w:r>
              <w:t>Monthly progress reports, quarterly reviews</w:t>
            </w:r>
          </w:p>
        </w:tc>
      </w:tr>
      <w:tr>
        <w:tc>
          <w:tcPr>
            <w:tcW w:type="dxa" w:w="4320"/>
          </w:tcPr>
          <w:p>
            <w:r>
              <w:t>Technical Partners</w:t>
            </w:r>
          </w:p>
        </w:tc>
        <w:tc>
          <w:tcPr>
            <w:tcW w:type="dxa" w:w="4320"/>
          </w:tcPr>
          <w:p>
            <w:r>
              <w:t>Weekly sync calls, shared documentation</w:t>
            </w:r>
          </w:p>
        </w:tc>
      </w:tr>
      <w:tr>
        <w:tc>
          <w:tcPr>
            <w:tcW w:type="dxa" w:w="4320"/>
          </w:tcPr>
          <w:p>
            <w:r>
              <w:t>End Users</w:t>
            </w:r>
          </w:p>
        </w:tc>
        <w:tc>
          <w:tcPr>
            <w:tcW w:type="dxa" w:w="4320"/>
          </w:tcPr>
          <w:p>
            <w:r>
              <w:t>In-app notifications, email newsletters</w:t>
            </w:r>
          </w:p>
        </w:tc>
      </w:tr>
      <w:tr>
        <w:tc>
          <w:tcPr>
            <w:tcW w:type="dxa" w:w="4320"/>
          </w:tcPr>
          <w:p>
            <w:r>
              <w:t>Public</w:t>
            </w:r>
          </w:p>
        </w:tc>
        <w:tc>
          <w:tcPr>
            <w:tcW w:type="dxa" w:w="4320"/>
          </w:tcPr>
          <w:p>
            <w:r>
              <w:t>Press releases, social media updates</w:t>
            </w:r>
          </w:p>
        </w:tc>
      </w:tr>
    </w:tbl>
    <w:p/>
    <w:p>
      <w:pPr>
        <w:pStyle w:val="Heading1"/>
      </w:pPr>
      <w:r>
        <w:t>3. Training Program</w:t>
      </w:r>
    </w:p>
    <w:p>
      <w:pPr>
        <w:pStyle w:val="Heading2"/>
      </w:pPr>
      <w:r>
        <w:t>3.1 Training Materials</w:t>
      </w:r>
    </w:p>
    <w:p>
      <w:pPr>
        <w:pStyle w:val="ListBullet"/>
      </w:pPr>
      <w:r>
        <w:t>Video tutorials in Hindi and English (5-10 minute modules)</w:t>
      </w:r>
    </w:p>
    <w:p>
      <w:pPr>
        <w:pStyle w:val="ListBullet"/>
      </w:pPr>
      <w:r>
        <w:t>Quick reference cards (printable A4 format)</w:t>
      </w:r>
    </w:p>
    <w:p>
      <w:pPr>
        <w:pStyle w:val="ListBullet"/>
      </w:pPr>
      <w:r>
        <w:t>Interactive demo environment for practice</w:t>
      </w:r>
    </w:p>
    <w:p>
      <w:pPr>
        <w:pStyle w:val="ListBullet"/>
      </w:pPr>
      <w:r>
        <w:t>FAQ document with common scenarios</w:t>
      </w:r>
    </w:p>
    <w:p>
      <w:pPr>
        <w:pStyle w:val="ListBullet"/>
      </w:pPr>
      <w:r>
        <w:t>Troubleshooting guide for common issues</w:t>
      </w:r>
    </w:p>
    <w:p>
      <w:pPr>
        <w:pStyle w:val="Heading2"/>
      </w:pPr>
      <w:r>
        <w:t>3.2 Training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Virtual Webinars</w:t>
            </w:r>
          </w:p>
        </w:tc>
        <w:tc>
          <w:tcPr>
            <w:tcW w:type="dxa" w:w="4320"/>
          </w:tcPr>
          <w:p>
            <w:r>
              <w:t>Weekly sessions for new users</w:t>
            </w:r>
          </w:p>
        </w:tc>
      </w:tr>
      <w:tr>
        <w:tc>
          <w:tcPr>
            <w:tcW w:type="dxa" w:w="4320"/>
          </w:tcPr>
          <w:p>
            <w:r>
              <w:t>In-person Workshops</w:t>
            </w:r>
          </w:p>
        </w:tc>
        <w:tc>
          <w:tcPr>
            <w:tcW w:type="dxa" w:w="4320"/>
          </w:tcPr>
          <w:p>
            <w:r>
              <w:t>Major procurement hubs (Delhi, Mumbai, Chennai)</w:t>
            </w:r>
          </w:p>
        </w:tc>
      </w:tr>
      <w:tr>
        <w:tc>
          <w:tcPr>
            <w:tcW w:type="dxa" w:w="4320"/>
          </w:tcPr>
          <w:p>
            <w:r>
              <w:t>Train-the-Trainer</w:t>
            </w:r>
          </w:p>
        </w:tc>
        <w:tc>
          <w:tcPr>
            <w:tcW w:type="dxa" w:w="4320"/>
          </w:tcPr>
          <w:p>
            <w:r>
              <w:t>Departmental champions program</w:t>
            </w:r>
          </w:p>
        </w:tc>
      </w:tr>
      <w:tr>
        <w:tc>
          <w:tcPr>
            <w:tcW w:type="dxa" w:w="4320"/>
          </w:tcPr>
          <w:p>
            <w:r>
              <w:t>Self-paced Learning</w:t>
            </w:r>
          </w:p>
        </w:tc>
        <w:tc>
          <w:tcPr>
            <w:tcW w:type="dxa" w:w="4320"/>
          </w:tcPr>
          <w:p>
            <w:r>
              <w:t>Online modules with certification</w:t>
            </w:r>
          </w:p>
        </w:tc>
      </w:tr>
    </w:tbl>
    <w:p/>
    <w:p>
      <w:pPr>
        <w:pStyle w:val="Heading1"/>
      </w:pPr>
      <w:r>
        <w:t>4. Change Management</w:t>
      </w:r>
    </w:p>
    <w:p>
      <w:pPr>
        <w:pStyle w:val="Heading2"/>
      </w:pPr>
      <w:r>
        <w:t>4.1 Adoption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Approach</w:t>
            </w:r>
          </w:p>
        </w:tc>
      </w:tr>
      <w:tr>
        <w:tc>
          <w:tcPr>
            <w:tcW w:type="dxa" w:w="4320"/>
          </w:tcPr>
          <w:p>
            <w:r>
              <w:t>Phase 1</w:t>
            </w:r>
          </w:p>
        </w:tc>
        <w:tc>
          <w:tcPr>
            <w:tcW w:type="dxa" w:w="4320"/>
          </w:tcPr>
          <w:p>
            <w:r>
              <w:t>Optional tool alongside existing process - build familiarity</w:t>
            </w:r>
          </w:p>
        </w:tc>
      </w:tr>
      <w:tr>
        <w:tc>
          <w:tcPr>
            <w:tcW w:type="dxa" w:w="4320"/>
          </w:tcPr>
          <w:p>
            <w:r>
              <w:t>Phase 2</w:t>
            </w:r>
          </w:p>
        </w:tc>
        <w:tc>
          <w:tcPr>
            <w:tcW w:type="dxa" w:w="4320"/>
          </w:tcPr>
          <w:p>
            <w:r>
              <w:t>Recommended use - flag if system not consulted</w:t>
            </w:r>
          </w:p>
        </w:tc>
      </w:tr>
      <w:tr>
        <w:tc>
          <w:tcPr>
            <w:tcW w:type="dxa" w:w="4320"/>
          </w:tcPr>
          <w:p>
            <w:r>
              <w:t>Phase 3</w:t>
            </w:r>
          </w:p>
        </w:tc>
        <w:tc>
          <w:tcPr>
            <w:tcW w:type="dxa" w:w="4320"/>
          </w:tcPr>
          <w:p>
            <w:r>
              <w:t>Integrated into tender creation workflow - default tool</w:t>
            </w:r>
          </w:p>
        </w:tc>
      </w:tr>
    </w:tbl>
    <w:p/>
    <w:p>
      <w:pPr>
        <w:pStyle w:val="Heading2"/>
      </w:pPr>
      <w:r>
        <w:t>4.2 Resistance Management</w:t>
      </w:r>
    </w:p>
    <w:p>
      <w:pPr>
        <w:pStyle w:val="ListBullet"/>
      </w:pPr>
      <w:r>
        <w:t>Address 'AI replacing humans' concern - position as assistant, not replacement</w:t>
      </w:r>
    </w:p>
    <w:p>
      <w:pPr>
        <w:pStyle w:val="ListBullet"/>
      </w:pPr>
      <w:r>
        <w:t>Show time savings with real examples from pilot users</w:t>
      </w:r>
    </w:p>
    <w:p>
      <w:pPr>
        <w:pStyle w:val="ListBullet"/>
      </w:pPr>
      <w:r>
        <w:t>Provide escape hatch - manual process always available</w:t>
      </w:r>
    </w:p>
    <w:p>
      <w:pPr>
        <w:pStyle w:val="ListBullet"/>
      </w:pPr>
      <w:r>
        <w:t>Celebrate early adopters and success stories</w:t>
      </w:r>
    </w:p>
    <w:p>
      <w:pPr>
        <w:pStyle w:val="ListBullet"/>
      </w:pPr>
      <w:r>
        <w:t>Executive sponsorship for organizational buy-in</w:t>
      </w:r>
    </w:p>
    <w:p>
      <w:pPr>
        <w:pStyle w:val="Heading1"/>
      </w:pPr>
      <w:r>
        <w:t>5. Feedback Loop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In-app Feedback</w:t>
            </w:r>
          </w:p>
        </w:tc>
        <w:tc>
          <w:tcPr>
            <w:tcW w:type="dxa" w:w="4320"/>
          </w:tcPr>
          <w:p>
            <w:r>
              <w:t>Thumbs up/down on recommendations, comment box</w:t>
            </w:r>
          </w:p>
        </w:tc>
      </w:tr>
      <w:tr>
        <w:tc>
          <w:tcPr>
            <w:tcW w:type="dxa" w:w="4320"/>
          </w:tcPr>
          <w:p>
            <w:r>
              <w:t>Monthly Surveys</w:t>
            </w:r>
          </w:p>
        </w:tc>
        <w:tc>
          <w:tcPr>
            <w:tcW w:type="dxa" w:w="4320"/>
          </w:tcPr>
          <w:p>
            <w:r>
              <w:t>NPS score, feature requests, pain points</w:t>
            </w:r>
          </w:p>
        </w:tc>
      </w:tr>
      <w:tr>
        <w:tc>
          <w:tcPr>
            <w:tcW w:type="dxa" w:w="4320"/>
          </w:tcPr>
          <w:p>
            <w:r>
              <w:t>User Interviews</w:t>
            </w:r>
          </w:p>
        </w:tc>
        <w:tc>
          <w:tcPr>
            <w:tcW w:type="dxa" w:w="4320"/>
          </w:tcPr>
          <w:p>
            <w:r>
              <w:t>Quarterly deep-dive sessions with power users</w:t>
            </w:r>
          </w:p>
        </w:tc>
      </w:tr>
      <w:tr>
        <w:tc>
          <w:tcPr>
            <w:tcW w:type="dxa" w:w="4320"/>
          </w:tcPr>
          <w:p>
            <w:r>
              <w:t>Usage Analytics</w:t>
            </w:r>
          </w:p>
        </w:tc>
        <w:tc>
          <w:tcPr>
            <w:tcW w:type="dxa" w:w="4320"/>
          </w:tcPr>
          <w:p>
            <w:r>
              <w:t>Track adoption, popular queries, drop-off points</w:t>
            </w:r>
          </w:p>
        </w:tc>
      </w:tr>
      <w:tr>
        <w:tc>
          <w:tcPr>
            <w:tcW w:type="dxa" w:w="4320"/>
          </w:tcPr>
          <w:p>
            <w:r>
              <w:t>Bug Reporting</w:t>
            </w:r>
          </w:p>
        </w:tc>
        <w:tc>
          <w:tcPr>
            <w:tcW w:type="dxa" w:w="4320"/>
          </w:tcPr>
          <w:p>
            <w:r>
              <w:t>In-app issue reporting with screenshot capture</w:t>
            </w:r>
          </w:p>
        </w:tc>
      </w:tr>
    </w:tbl>
    <w:p/>
    <w:p>
      <w:pPr>
        <w:pStyle w:val="Heading1"/>
      </w:pPr>
      <w:r>
        <w:t>6. Success Metrics for Adoption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Awareness</w:t>
            </w:r>
          </w:p>
        </w:tc>
        <w:tc>
          <w:tcPr>
            <w:tcW w:type="dxa" w:w="4320"/>
          </w:tcPr>
          <w:p>
            <w:r>
              <w:t>80% of target users know about the tool</w:t>
            </w:r>
          </w:p>
        </w:tc>
      </w:tr>
      <w:tr>
        <w:tc>
          <w:tcPr>
            <w:tcW w:type="dxa" w:w="4320"/>
          </w:tcPr>
          <w:p>
            <w:r>
              <w:t>Trial</w:t>
            </w:r>
          </w:p>
        </w:tc>
        <w:tc>
          <w:tcPr>
            <w:tcW w:type="dxa" w:w="4320"/>
          </w:tcPr>
          <w:p>
            <w:r>
              <w:t>50% have tried at least one query</w:t>
            </w:r>
          </w:p>
        </w:tc>
      </w:tr>
      <w:tr>
        <w:tc>
          <w:tcPr>
            <w:tcW w:type="dxa" w:w="4320"/>
          </w:tcPr>
          <w:p>
            <w:r>
              <w:t>Adoption</w:t>
            </w:r>
          </w:p>
        </w:tc>
        <w:tc>
          <w:tcPr>
            <w:tcW w:type="dxa" w:w="4320"/>
          </w:tcPr>
          <w:p>
            <w:r>
              <w:t>30% use regularly (weekly)</w:t>
            </w:r>
          </w:p>
        </w:tc>
      </w:tr>
      <w:tr>
        <w:tc>
          <w:tcPr>
            <w:tcW w:type="dxa" w:w="4320"/>
          </w:tcPr>
          <w:p>
            <w:r>
              <w:t>Advocacy</w:t>
            </w:r>
          </w:p>
        </w:tc>
        <w:tc>
          <w:tcPr>
            <w:tcW w:type="dxa" w:w="4320"/>
          </w:tcPr>
          <w:p>
            <w:r>
              <w:t>10% actively recommend to colleagues</w:t>
            </w:r>
          </w:p>
        </w:tc>
      </w:tr>
      <w:tr>
        <w:tc>
          <w:tcPr>
            <w:tcW w:type="dxa" w:w="4320"/>
          </w:tcPr>
          <w:p>
            <w:r>
              <w:t>Dependency</w:t>
            </w:r>
          </w:p>
        </w:tc>
        <w:tc>
          <w:tcPr>
            <w:tcW w:type="dxa" w:w="4320"/>
          </w:tcPr>
          <w:p>
            <w:r>
              <w:t>Tool becomes default for specifications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