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body>
    <w:p>
      <w:pPr>
        <w:pStyle w:val="Heading1"/>
      </w:pPr>
      <w:r>
        <w:t xml:space="preserve">BLTPortlet log4j 2.25.5 Upgrade – Test Evidence</w:t>
      </w:r>
    </w:p>
    <w:p>
      <w:pPr/>
      <w:r>
        <w:t xml:space="preserve">Oct 6, 2026</w:t>
      </w:r>
      <w:r>
        <w:t xml:space="preserve"> · </w:t>
      </w:r>
      <w:r>
        <w:t xml:space="preserve">@Satish</w:t>
      </w:r>
    </w:p>
    <w:p>
      <w:pPr>
        <w:pStyle w:val="Heading2"/>
      </w:pPr>
      <w:r>
        <w:t xml:space="preserve">Change summary</w:t>
      </w:r>
    </w:p>
    <w:p>
      <w:pPr/>
      <w:r>
        <w:t xml:space="preserve">BLTPortlet (Blue Licensure Tool Admin UI) was upgraded from log4j 2.17.1 to 2.25.5 to remediate the log4j security vulnerability. After deployment, the portlet loads and all list, view and form pages work in PROD.</w:t>
      </w:r>
    </w:p>
    <w:tbl>
      <w:tblPr>
        <w:tblStyle w:val="TableGrid"/>
        <w:tblW w:w="0" w:type="auto"/>
        <w:tblLayout w:type="fixed"/>
        <w:tblLook w:val="04A0" w:firstRow="1" w:lastRow="0" w:firstColumn="0" w:lastColumn="0" w:noHBand="0" w:noVBand="1"/>
      </w:tblPr>
      <w:tblGrid>
        <w:gridCol w:w="4680"/>
        <w:gridCol w:w="4680"/>
      </w:tblGrid>
      <w:tr>
        <w:trPr>
          <w:tblHeader/>
        </w:trPr>
        <w:tc>
          <w:tcPr>
            <w:tcW w:w="4680" w:type="dxa"/>
            <w:shd w:val="clear" w:color="auto" w:fill="F2F2F2"/>
          </w:tcPr>
          <w:p>
            <w:pPr/>
            <w:r>
              <w:t xml:space="preserve">Item</w:t>
            </w:r>
          </w:p>
        </w:tc>
        <w:tc>
          <w:tcPr>
            <w:tcW w:w="4680" w:type="dxa"/>
            <w:shd w:val="clear" w:color="auto" w:fill="F2F2F2"/>
          </w:tcPr>
          <w:p>
            <w:pPr/>
            <w:r>
              <w:t xml:space="preserve">Detail</w:t>
            </w:r>
          </w:p>
        </w:tc>
      </w:tr>
      <w:tr>
        <w:tc>
          <w:tcPr>
            <w:tcW w:w="4680" w:type="dxa"/>
          </w:tcPr>
          <w:p>
            <w:pPr/>
            <w:r>
              <w:t xml:space="preserve">Application</w:t>
            </w:r>
          </w:p>
        </w:tc>
        <w:tc>
          <w:tcPr>
            <w:tcW w:w="4680" w:type="dxa"/>
          </w:tcPr>
          <w:p>
            <w:pPr/>
            <w:r>
              <w:t xml:space="preserve">BlueWeb (Liferay DXP 7.4)</w:t>
            </w:r>
          </w:p>
        </w:tc>
      </w:tr>
      <w:tr>
        <w:tc>
          <w:tcPr>
            <w:tcW w:w="4680" w:type="dxa"/>
          </w:tcPr>
          <w:p>
            <w:pPr/>
            <w:r>
              <w:t xml:space="preserve">Module</w:t>
            </w:r>
          </w:p>
        </w:tc>
        <w:tc>
          <w:tcPr>
            <w:tcW w:w="4680" w:type="dxa"/>
          </w:tcPr>
          <w:p>
            <w:pPr/>
            <w:r>
              <w:t xml:space="preserve">BLTPortlet (WAR portlet)</w:t>
            </w:r>
          </w:p>
        </w:tc>
      </w:tr>
      <w:tr>
        <w:tc>
          <w:tcPr>
            <w:tcW w:w="4680" w:type="dxa"/>
          </w:tcPr>
          <w:p>
            <w:pPr/>
            <w:r>
              <w:t xml:space="preserve">Page</w:t>
            </w:r>
          </w:p>
        </w:tc>
        <w:tc>
          <w:tcPr>
            <w:tcW w:w="4680" w:type="dxa"/>
          </w:tcPr>
          <w:p>
            <w:pPr/>
            <w:r>
              <w:t xml:space="preserve">/blue-licensure-tool</w:t>
            </w:r>
          </w:p>
        </w:tc>
      </w:tr>
      <w:tr>
        <w:tc>
          <w:tcPr>
            <w:tcW w:w="4680" w:type="dxa"/>
          </w:tcPr>
          <w:p>
            <w:pPr/>
            <w:r>
              <w:t xml:space="preserve">Git branch</w:t>
            </w:r>
          </w:p>
        </w:tc>
        <w:tc>
          <w:tcPr>
            <w:tcW w:w="4680" w:type="dxa"/>
          </w:tcPr>
          <w:p>
            <w:pPr/>
            <w:r>
              <w:t xml:space="preserve">BLTportlet_log4jfix</w:t>
            </w:r>
          </w:p>
        </w:tc>
      </w:tr>
      <w:tr>
        <w:tc>
          <w:tcPr>
            <w:tcW w:w="4680" w:type="dxa"/>
          </w:tcPr>
          <w:p>
            <w:pPr/>
            <w:r>
              <w:t xml:space="preserve">log4j version</w:t>
            </w:r>
          </w:p>
        </w:tc>
        <w:tc>
          <w:tcPr>
            <w:tcW w:w="4680" w:type="dxa"/>
          </w:tcPr>
          <w:p>
            <w:pPr/>
            <w:r>
              <w:t xml:space="preserve">2.17.1 → 2.25.5 (log4j-api, log4j-core)</w:t>
            </w:r>
          </w:p>
        </w:tc>
      </w:tr>
    </w:tbl>
    <w:p>
      <w:pPr/>
      <w:r>
        <w:rPr>
          <w:b/>
        </w:rPr>
        <w:t xml:space="preserve">Files changed</w:t>
      </w:r>
    </w:p>
    <w:p>
      <w:pPr>
        <w:pStyle w:val="ListParagraph"/>
        <w:numPr>
          <w:ilvl w:val="0"/>
          <w:numId w:val="2"/>
        </w:numPr>
      </w:pPr>
      <w:r>
        <w:rPr>
          <w:rStyle w:val="CodeChar"/>
        </w:rPr>
        <w:t xml:space="preserve">build.gradle</w:t>
      </w:r>
      <w:r>
        <w:t xml:space="preserve"> — log4j-api and log4j-core set to 2.25.5 as </w:t>
      </w:r>
      <w:r>
        <w:rPr>
          <w:rStyle w:val="CodeChar"/>
        </w:rPr>
        <w:t xml:space="preserve">implementation</w:t>
      </w:r>
      <w:r>
        <w:t xml:space="preserve">; log4j-web and duplicate </w:t>
      </w:r>
      <w:r>
        <w:rPr>
          <w:rStyle w:val="CodeChar"/>
        </w:rPr>
        <w:t xml:space="preserve">compileOnly</w:t>
      </w:r>
      <w:r>
        <w:t xml:space="preserve"> log4j entries removed.</w:t>
      </w:r>
    </w:p>
    <w:p>
      <w:pPr>
        <w:pStyle w:val="ListParagraph"/>
        <w:numPr>
          <w:ilvl w:val="0"/>
          <w:numId w:val="2"/>
        </w:numPr>
      </w:pPr>
      <w:r>
        <w:rPr>
          <w:rStyle w:val="CodeChar"/>
        </w:rPr>
        <w:t xml:space="preserve">WEB-INF/liferay-plugin-package.properties</w:t>
      </w:r>
      <w:r>
        <w:t xml:space="preserve"> — added </w:t>
      </w:r>
      <w:r>
        <w:rPr>
          <w:rStyle w:val="CodeChar"/>
        </w:rPr>
        <w:t xml:space="preserve">-removeheaders=Bundle-Activator</w:t>
      </w:r>
      <w:r>
        <w:t xml:space="preserve"> so the log4j jars' OSGi activators are not merged into the portlet manifest.</w:t>
      </w:r>
    </w:p>
    <w:p>
      <w:pPr>
        <w:pStyle w:val="ListParagraph"/>
        <w:numPr>
          <w:ilvl w:val="0"/>
          <w:numId w:val="2"/>
        </w:numPr>
      </w:pPr>
      <w:r>
        <w:rPr>
          <w:rStyle w:val="CodeChar"/>
        </w:rPr>
        <w:t xml:space="preserve">WEB-INF/web.xml</w:t>
      </w:r>
      <w:r>
        <w:t xml:space="preserve"> — removed </w:t>
      </w:r>
      <w:r>
        <w:rPr>
          <w:rStyle w:val="CodeChar"/>
        </w:rPr>
        <w:t xml:space="preserve">Log4jServletContextListener</w:t>
      </w:r>
      <w:r>
        <w:t xml:space="preserve">, </w:t>
      </w:r>
      <w:r>
        <w:rPr>
          <w:rStyle w:val="CodeChar"/>
        </w:rPr>
        <w:t xml:space="preserve">log4jServletFilter</w:t>
      </w:r>
      <w:r>
        <w:t xml:space="preserve"> and its filter-mapping (they required log4j-web).</w:t>
      </w:r>
    </w:p>
    <w:p>
      <w:pPr>
        <w:pStyle w:val="Heading2"/>
      </w:pPr>
      <w:r>
        <w:t xml:space="preserve">PROD test results</w:t>
      </w:r>
    </w:p>
    <w:p>
      <w:pPr/>
      <w:r>
        <w:t xml:space="preserve">All 5 PROD test cases passed on bluewebportal.bcbs.com/blue-licensure-tool. Each page rendered with data and no errors.</w:t>
      </w:r>
    </w:p>
    <w:tbl>
      <w:tblPr>
        <w:tblStyle w:val="TableGrid"/>
        <w:tblW w:w="0" w:type="auto"/>
        <w:tblLayout w:type="fixed"/>
        <w:tblLook w:val="04A0" w:firstRow="1" w:lastRow="0" w:firstColumn="0" w:lastColumn="0" w:noHBand="0" w:noVBand="1"/>
      </w:tblPr>
      <w:tblGrid>
        <w:gridCol w:w="2340"/>
        <w:gridCol w:w="2340"/>
        <w:gridCol w:w="2340"/>
        <w:gridCol w:w="2340"/>
      </w:tblGrid>
      <w:tr>
        <w:trPr>
          <w:tblHeader/>
        </w:trPr>
        <w:tc>
          <w:tcPr>
            <w:tcW w:w="2340" w:type="dxa"/>
            <w:shd w:val="clear" w:color="auto" w:fill="F2F2F2"/>
          </w:tcPr>
          <w:p>
            <w:pPr/>
            <w:r>
              <w:t xml:space="preserve">#</w:t>
            </w:r>
          </w:p>
        </w:tc>
        <w:tc>
          <w:tcPr>
            <w:tcW w:w="2340" w:type="dxa"/>
            <w:shd w:val="clear" w:color="auto" w:fill="F2F2F2"/>
          </w:tcPr>
          <w:p>
            <w:pPr/>
            <w:r>
              <w:t xml:space="preserve">Test case</w:t>
            </w:r>
          </w:p>
        </w:tc>
        <w:tc>
          <w:tcPr>
            <w:tcW w:w="2340" w:type="dxa"/>
            <w:shd w:val="clear" w:color="auto" w:fill="F2F2F2"/>
          </w:tcPr>
          <w:p>
            <w:pPr/>
            <w:r>
              <w:t xml:space="preserve">Expected result</w:t>
            </w:r>
          </w:p>
        </w:tc>
        <w:tc>
          <w:tcPr>
            <w:tcW w:w="2340" w:type="dxa"/>
            <w:shd w:val="clear" w:color="auto" w:fill="F2F2F2"/>
          </w:tcPr>
          <w:p>
            <w:pPr/>
            <w:r>
              <w:t xml:space="preserve">Result</w:t>
            </w:r>
          </w:p>
        </w:tc>
      </w:tr>
      <w:tr>
        <w:tc>
          <w:tcPr>
            <w:tcW w:w="2340" w:type="dxa"/>
          </w:tcPr>
          <w:p>
            <w:pPr/>
            <w:r>
              <w:t xml:space="preserve">1</w:t>
            </w:r>
          </w:p>
        </w:tc>
        <w:tc>
          <w:tcPr>
            <w:tcW w:w="2340" w:type="dxa"/>
          </w:tcPr>
          <w:p>
            <w:pPr/>
            <w:r>
              <w:t xml:space="preserve">Open Blue Licensure Tool page</w:t>
            </w:r>
          </w:p>
        </w:tc>
        <w:tc>
          <w:tcPr>
            <w:tcW w:w="2340" w:type="dxa"/>
          </w:tcPr>
          <w:p>
            <w:pPr/>
            <w:r>
              <w:t xml:space="preserve">Portlet renders with left navigation and welcome text</w:t>
            </w:r>
          </w:p>
        </w:tc>
        <w:tc>
          <w:tcPr>
            <w:tcW w:w="2340" w:type="dxa"/>
          </w:tcPr>
          <w:p>
            <w:pPr/>
            <w:r>
              <w:t xml:space="preserve">Pass</w:t>
            </w:r>
          </w:p>
        </w:tc>
      </w:tr>
      <w:tr>
        <w:tc>
          <w:tcPr>
            <w:tcW w:w="2340" w:type="dxa"/>
          </w:tcPr>
          <w:p>
            <w:pPr/>
            <w:r>
              <w:t xml:space="preserve">2</w:t>
            </w:r>
          </w:p>
        </w:tc>
        <w:tc>
          <w:tcPr>
            <w:tcW w:w="2340" w:type="dxa"/>
          </w:tcPr>
          <w:p>
            <w:pPr/>
            <w:r>
              <w:t xml:space="preserve">List Groups</w:t>
            </w:r>
          </w:p>
        </w:tc>
        <w:tc>
          <w:tcPr>
            <w:tcW w:w="2340" w:type="dxa"/>
          </w:tcPr>
          <w:p>
            <w:pPr/>
            <w:r>
              <w:t xml:space="preserve">Groups Data Table loads with Group Code, Description, Edit/Delete</w:t>
            </w:r>
          </w:p>
        </w:tc>
        <w:tc>
          <w:tcPr>
            <w:tcW w:w="2340" w:type="dxa"/>
          </w:tcPr>
          <w:p>
            <w:pPr/>
            <w:r>
              <w:t xml:space="preserve">Pass</w:t>
            </w:r>
          </w:p>
        </w:tc>
      </w:tr>
      <w:tr>
        <w:tc>
          <w:tcPr>
            <w:tcW w:w="2340" w:type="dxa"/>
          </w:tcPr>
          <w:p>
            <w:pPr/>
            <w:r>
              <w:t xml:space="preserve">3</w:t>
            </w:r>
          </w:p>
        </w:tc>
        <w:tc>
          <w:tcPr>
            <w:tcW w:w="2340" w:type="dxa"/>
          </w:tcPr>
          <w:p>
            <w:pPr/>
            <w:r>
              <w:t xml:space="preserve">List Licensees</w:t>
            </w:r>
          </w:p>
        </w:tc>
        <w:tc>
          <w:tcPr>
            <w:tcW w:w="2340" w:type="dxa"/>
          </w:tcPr>
          <w:p>
            <w:pPr/>
            <w:r>
              <w:t xml:space="preserve">Licensees Data Table loads with Lic. Number, City/State, Legal Name, License Type, Business Type</w:t>
            </w:r>
          </w:p>
        </w:tc>
        <w:tc>
          <w:tcPr>
            <w:tcW w:w="2340" w:type="dxa"/>
          </w:tcPr>
          <w:p>
            <w:pPr/>
            <w:r>
              <w:t xml:space="preserve">Pass</w:t>
            </w:r>
          </w:p>
        </w:tc>
      </w:tr>
      <w:tr>
        <w:tc>
          <w:tcPr>
            <w:tcW w:w="2340" w:type="dxa"/>
          </w:tcPr>
          <w:p>
            <w:pPr/>
            <w:r>
              <w:t xml:space="preserve">4</w:t>
            </w:r>
          </w:p>
        </w:tc>
        <w:tc>
          <w:tcPr>
            <w:tcW w:w="2340" w:type="dxa"/>
          </w:tcPr>
          <w:p>
            <w:pPr/>
            <w:r>
              <w:t xml:space="preserve">List Standards</w:t>
            </w:r>
          </w:p>
        </w:tc>
        <w:tc>
          <w:tcPr>
            <w:tcW w:w="2340" w:type="dxa"/>
          </w:tcPr>
          <w:p>
            <w:pPr/>
            <w:r>
              <w:t xml:space="preserve">Standards Data Table loads with Lic. Super Type, Title, Sequence</w:t>
            </w:r>
          </w:p>
        </w:tc>
        <w:tc>
          <w:tcPr>
            <w:tcW w:w="2340" w:type="dxa"/>
          </w:tcPr>
          <w:p>
            <w:pPr/>
            <w:r>
              <w:t xml:space="preserve">Pass</w:t>
            </w:r>
          </w:p>
        </w:tc>
      </w:tr>
      <w:tr>
        <w:tc>
          <w:tcPr>
            <w:tcW w:w="2340" w:type="dxa"/>
          </w:tcPr>
          <w:p>
            <w:pPr/>
            <w:r>
              <w:t xml:space="preserve">5</w:t>
            </w:r>
          </w:p>
        </w:tc>
        <w:tc>
          <w:tcPr>
            <w:tcW w:w="2340" w:type="dxa"/>
          </w:tcPr>
          <w:p>
            <w:pPr/>
            <w:r>
              <w:t xml:space="preserve">Add New Licensee</w:t>
            </w:r>
          </w:p>
        </w:tc>
        <w:tc>
          <w:tcPr>
            <w:tcW w:w="2340" w:type="dxa"/>
          </w:tcPr>
          <w:p>
            <w:pPr/>
            <w:r>
              <w:t xml:space="preserve">Licensee form loads with General, Geographic and Names sections</w:t>
            </w:r>
          </w:p>
        </w:tc>
        <w:tc>
          <w:tcPr>
            <w:tcW w:w="2340" w:type="dxa"/>
          </w:tcPr>
          <w:p>
            <w:pPr/>
            <w:r>
              <w:t xml:space="preserve">Pass</w:t>
            </w:r>
          </w:p>
        </w:tc>
      </w:tr>
    </w:tbl>
    <w:p>
      <w:pPr/>
      <w:r>
        <w:rPr>
          <w:b/>
        </w:rPr>
        <w:t xml:space="preserve">TC1 — Portlet home</w:t>
      </w:r>
    </w:p>
    <w:p>
      <w:pPr/>
      <w:r>
        <w:drawing>
          <wp:inline distT="0" distB="0" distL="0" distR="0">
            <wp:extent cx="5486400" cy="2621415"/>
            <wp:docPr id="1" name="image1" descr="PROD BLT home page"/>
            <a:graphic xmlns:a="http://schemas.openxmlformats.org/drawingml/2006/main">
              <a:graphicData uri="http://schemas.openxmlformats.org/drawingml/2006/picture">
                <pic:pic xmlns:pic="http://schemas.openxmlformats.org/drawingml/2006/picture">
                  <pic:nvPicPr>
                    <pic:cNvPr id="1" name="image1" descr="PROD BLT home page"/>
                    <pic:cNvPicPr/>
                  </pic:nvPicPr>
                  <pic:blipFill>
                    <a:blip r:embed="rId3"/>
                    <a:stretch>
                      <a:fillRect/>
                    </a:stretch>
                  </pic:blipFill>
                  <pic:spPr>
                    <a:xfrm>
                      <a:off x="0" y="0"/>
                      <a:ext cx="5486400" cy="2621415"/>
                    </a:xfrm>
                    <a:prstGeom prst="rect">
                      <a:avLst/>
                    </a:prstGeom>
                  </pic:spPr>
                </pic:pic>
              </a:graphicData>
            </a:graphic>
          </wp:inline>
        </w:drawing>
      </w:r>
    </w:p>
    <w:p>
      <w:pPr/>
      <w:r>
        <w:rPr>
          <w:b/>
        </w:rPr>
        <w:t xml:space="preserve">TC2 — List Groups</w:t>
      </w:r>
    </w:p>
    <w:p>
      <w:pPr/>
      <w:r>
        <w:drawing>
          <wp:inline distT="0" distB="0" distL="0" distR="0">
            <wp:extent cx="5486400" cy="3067486"/>
            <wp:docPr id="2" name="image2" descr="PROD List Groups"/>
            <a:graphic xmlns:a="http://schemas.openxmlformats.org/drawingml/2006/main">
              <a:graphicData uri="http://schemas.openxmlformats.org/drawingml/2006/picture">
                <pic:pic xmlns:pic="http://schemas.openxmlformats.org/drawingml/2006/picture">
                  <pic:nvPicPr>
                    <pic:cNvPr id="2" name="image2" descr="PROD List Groups"/>
                    <pic:cNvPicPr/>
                  </pic:nvPicPr>
                  <pic:blipFill>
                    <a:blip r:embed="rId4"/>
                    <a:stretch>
                      <a:fillRect/>
                    </a:stretch>
                  </pic:blipFill>
                  <pic:spPr>
                    <a:xfrm>
                      <a:off x="0" y="0"/>
                      <a:ext cx="5486400" cy="3067486"/>
                    </a:xfrm>
                    <a:prstGeom prst="rect">
                      <a:avLst/>
                    </a:prstGeom>
                  </pic:spPr>
                </pic:pic>
              </a:graphicData>
            </a:graphic>
          </wp:inline>
        </w:drawing>
      </w:r>
    </w:p>
    <w:p>
      <w:pPr/>
      <w:r>
        <w:rPr>
          <w:b/>
        </w:rPr>
        <w:t xml:space="preserve">TC3 — List Licensees</w:t>
      </w:r>
    </w:p>
    <w:p>
      <w:pPr/>
      <w:r>
        <w:drawing>
          <wp:inline distT="0" distB="0" distL="0" distR="0">
            <wp:extent cx="5486400" cy="2939142"/>
            <wp:docPr id="3" name="image3" descr="PROD List Licensees"/>
            <a:graphic xmlns:a="http://schemas.openxmlformats.org/drawingml/2006/main">
              <a:graphicData uri="http://schemas.openxmlformats.org/drawingml/2006/picture">
                <pic:pic xmlns:pic="http://schemas.openxmlformats.org/drawingml/2006/picture">
                  <pic:nvPicPr>
                    <pic:cNvPr id="3" name="image3" descr="PROD List Licensees"/>
                    <pic:cNvPicPr/>
                  </pic:nvPicPr>
                  <pic:blipFill>
                    <a:blip r:embed="rId5"/>
                    <a:stretch>
                      <a:fillRect/>
                    </a:stretch>
                  </pic:blipFill>
                  <pic:spPr>
                    <a:xfrm>
                      <a:off x="0" y="0"/>
                      <a:ext cx="5486400" cy="2939142"/>
                    </a:xfrm>
                    <a:prstGeom prst="rect">
                      <a:avLst/>
                    </a:prstGeom>
                  </pic:spPr>
                </pic:pic>
              </a:graphicData>
            </a:graphic>
          </wp:inline>
        </w:drawing>
      </w:r>
    </w:p>
    <w:p>
      <w:pPr/>
      <w:r>
        <w:rPr>
          <w:b/>
        </w:rPr>
        <w:t xml:space="preserve">TC4 — List Standards</w:t>
      </w:r>
    </w:p>
    <w:p>
      <w:pPr/>
      <w:r>
        <w:drawing>
          <wp:inline distT="0" distB="0" distL="0" distR="0">
            <wp:extent cx="5486400" cy="3050672"/>
            <wp:docPr id="4" name="image4" descr="PROD List Standards"/>
            <a:graphic xmlns:a="http://schemas.openxmlformats.org/drawingml/2006/main">
              <a:graphicData uri="http://schemas.openxmlformats.org/drawingml/2006/picture">
                <pic:pic xmlns:pic="http://schemas.openxmlformats.org/drawingml/2006/picture">
                  <pic:nvPicPr>
                    <pic:cNvPr id="4" name="image4" descr="PROD List Standards"/>
                    <pic:cNvPicPr/>
                  </pic:nvPicPr>
                  <pic:blipFill>
                    <a:blip r:embed="rId6"/>
                    <a:stretch>
                      <a:fillRect/>
                    </a:stretch>
                  </pic:blipFill>
                  <pic:spPr>
                    <a:xfrm>
                      <a:off x="0" y="0"/>
                      <a:ext cx="5486400" cy="3050672"/>
                    </a:xfrm>
                    <a:prstGeom prst="rect">
                      <a:avLst/>
                    </a:prstGeom>
                  </pic:spPr>
                </pic:pic>
              </a:graphicData>
            </a:graphic>
          </wp:inline>
        </w:drawing>
      </w:r>
    </w:p>
    <w:p>
      <w:pPr/>
      <w:r>
        <w:rPr>
          <w:b/>
        </w:rPr>
        <w:t xml:space="preserve">TC5 — Add New Licensee</w:t>
      </w:r>
    </w:p>
    <w:p>
      <w:pPr/>
      <w:r>
        <w:drawing>
          <wp:inline distT="0" distB="0" distL="0" distR="0">
            <wp:extent cx="5486400" cy="2950432"/>
            <wp:docPr id="5" name="image5" descr="PROD Add New Licensee form"/>
            <a:graphic xmlns:a="http://schemas.openxmlformats.org/drawingml/2006/main">
              <a:graphicData uri="http://schemas.openxmlformats.org/drawingml/2006/picture">
                <pic:pic xmlns:pic="http://schemas.openxmlformats.org/drawingml/2006/picture">
                  <pic:nvPicPr>
                    <pic:cNvPr id="5" name="image5" descr="PROD Add New Licensee form"/>
                    <pic:cNvPicPr/>
                  </pic:nvPicPr>
                  <pic:blipFill>
                    <a:blip r:embed="rId7"/>
                    <a:stretch>
                      <a:fillRect/>
                    </a:stretch>
                  </pic:blipFill>
                  <pic:spPr>
                    <a:xfrm>
                      <a:off x="0" y="0"/>
                      <a:ext cx="5486400" cy="2950432"/>
                    </a:xfrm>
                    <a:prstGeom prst="rect">
                      <a:avLst/>
                    </a:prstGeom>
                  </pic:spPr>
                </pic:pic>
              </a:graphicData>
            </a:graphic>
          </wp:inline>
        </w:drawing>
      </w:r>
    </w:p>
    <w:p>
      <w:pPr>
        <w:pStyle w:val="Heading2"/>
      </w:pPr>
      <w:r>
        <w:t xml:space="preserve">PV test results</w:t>
      </w:r>
    </w:p>
    <w:p>
      <w:pPr/>
      <w:r>
        <w:t xml:space="preserve">The portlet home page loads in PV on bluewebportalpv.bcbsa.com/blue-licensure-tool. Run TC2–TC5 in PV and add screenshots before closing.</w:t>
      </w:r>
    </w:p>
    <w:tbl>
      <w:tblPr>
        <w:tblStyle w:val="TableGrid"/>
        <w:tblW w:w="0" w:type="auto"/>
        <w:tblLayout w:type="fixed"/>
        <w:tblLook w:val="04A0" w:firstRow="1" w:lastRow="0" w:firstColumn="0" w:lastColumn="0" w:noHBand="0" w:noVBand="1"/>
      </w:tblPr>
      <w:tblGrid>
        <w:gridCol w:w="3120"/>
        <w:gridCol w:w="3120"/>
        <w:gridCol w:w="3120"/>
      </w:tblGrid>
      <w:tr>
        <w:trPr>
          <w:tblHeader/>
        </w:trPr>
        <w:tc>
          <w:tcPr>
            <w:tcW w:w="3120" w:type="dxa"/>
            <w:shd w:val="clear" w:color="auto" w:fill="F2F2F2"/>
          </w:tcPr>
          <w:p>
            <w:pPr/>
            <w:r>
              <w:t xml:space="preserve">#</w:t>
            </w:r>
          </w:p>
        </w:tc>
        <w:tc>
          <w:tcPr>
            <w:tcW w:w="3120" w:type="dxa"/>
            <w:shd w:val="clear" w:color="auto" w:fill="F2F2F2"/>
          </w:tcPr>
          <w:p>
            <w:pPr/>
            <w:r>
              <w:t xml:space="preserve">Test case</w:t>
            </w:r>
          </w:p>
        </w:tc>
        <w:tc>
          <w:tcPr>
            <w:tcW w:w="3120" w:type="dxa"/>
            <w:shd w:val="clear" w:color="auto" w:fill="F2F2F2"/>
          </w:tcPr>
          <w:p>
            <w:pPr/>
            <w:r>
              <w:t xml:space="preserve">Result</w:t>
            </w:r>
          </w:p>
        </w:tc>
      </w:tr>
      <w:tr>
        <w:tc>
          <w:tcPr>
            <w:tcW w:w="3120" w:type="dxa"/>
          </w:tcPr>
          <w:p>
            <w:pPr/>
            <w:r>
              <w:t xml:space="preserve">1</w:t>
            </w:r>
          </w:p>
        </w:tc>
        <w:tc>
          <w:tcPr>
            <w:tcW w:w="3120" w:type="dxa"/>
          </w:tcPr>
          <w:p>
            <w:pPr/>
            <w:r>
              <w:t xml:space="preserve">Open Blue Licensure Tool page</w:t>
            </w:r>
          </w:p>
        </w:tc>
        <w:tc>
          <w:tcPr>
            <w:tcW w:w="3120" w:type="dxa"/>
          </w:tcPr>
          <w:p>
            <w:pPr/>
            <w:r>
              <w:t xml:space="preserve">Pass</w:t>
            </w:r>
          </w:p>
        </w:tc>
      </w:tr>
      <w:tr>
        <w:tc>
          <w:tcPr>
            <w:tcW w:w="3120" w:type="dxa"/>
          </w:tcPr>
          <w:p>
            <w:pPr/>
            <w:r>
              <w:t xml:space="preserve">2</w:t>
            </w:r>
          </w:p>
        </w:tc>
        <w:tc>
          <w:tcPr>
            <w:tcW w:w="3120" w:type="dxa"/>
          </w:tcPr>
          <w:p>
            <w:pPr/>
            <w:r>
              <w:t xml:space="preserve">List Groups</w:t>
            </w:r>
          </w:p>
        </w:tc>
        <w:tc>
          <w:tcPr>
            <w:tcW w:w="3120" w:type="dxa"/>
          </w:tcPr>
          <w:p>
            <w:pPr/>
            <w:r>
              <w:t xml:space="preserve">To be tested</w:t>
            </w:r>
          </w:p>
        </w:tc>
      </w:tr>
      <w:tr>
        <w:tc>
          <w:tcPr>
            <w:tcW w:w="3120" w:type="dxa"/>
          </w:tcPr>
          <w:p>
            <w:pPr/>
            <w:r>
              <w:t xml:space="preserve">3</w:t>
            </w:r>
          </w:p>
        </w:tc>
        <w:tc>
          <w:tcPr>
            <w:tcW w:w="3120" w:type="dxa"/>
          </w:tcPr>
          <w:p>
            <w:pPr/>
            <w:r>
              <w:t xml:space="preserve">List Licensees</w:t>
            </w:r>
          </w:p>
        </w:tc>
        <w:tc>
          <w:tcPr>
            <w:tcW w:w="3120" w:type="dxa"/>
          </w:tcPr>
          <w:p>
            <w:pPr/>
            <w:r>
              <w:t xml:space="preserve">To be tested</w:t>
            </w:r>
          </w:p>
        </w:tc>
      </w:tr>
      <w:tr>
        <w:tc>
          <w:tcPr>
            <w:tcW w:w="3120" w:type="dxa"/>
          </w:tcPr>
          <w:p>
            <w:pPr/>
            <w:r>
              <w:t xml:space="preserve">4</w:t>
            </w:r>
          </w:p>
        </w:tc>
        <w:tc>
          <w:tcPr>
            <w:tcW w:w="3120" w:type="dxa"/>
          </w:tcPr>
          <w:p>
            <w:pPr/>
            <w:r>
              <w:t xml:space="preserve">List Standards</w:t>
            </w:r>
          </w:p>
        </w:tc>
        <w:tc>
          <w:tcPr>
            <w:tcW w:w="3120" w:type="dxa"/>
          </w:tcPr>
          <w:p>
            <w:pPr/>
            <w:r>
              <w:t xml:space="preserve">To be tested</w:t>
            </w:r>
          </w:p>
        </w:tc>
      </w:tr>
      <w:tr>
        <w:tc>
          <w:tcPr>
            <w:tcW w:w="3120" w:type="dxa"/>
          </w:tcPr>
          <w:p>
            <w:pPr/>
            <w:r>
              <w:t xml:space="preserve">5</w:t>
            </w:r>
          </w:p>
        </w:tc>
        <w:tc>
          <w:tcPr>
            <w:tcW w:w="3120" w:type="dxa"/>
          </w:tcPr>
          <w:p>
            <w:pPr/>
            <w:r>
              <w:t xml:space="preserve">Add New Licensee</w:t>
            </w:r>
          </w:p>
        </w:tc>
        <w:tc>
          <w:tcPr>
            <w:tcW w:w="3120" w:type="dxa"/>
          </w:tcPr>
          <w:p>
            <w:pPr/>
            <w:r>
              <w:t xml:space="preserve">To be tested</w:t>
            </w:r>
          </w:p>
        </w:tc>
      </w:tr>
    </w:tbl>
    <w:p>
      <w:pPr/>
      <w:r>
        <w:rPr>
          <w:b/>
        </w:rPr>
        <w:t xml:space="preserve">TC1 — Portlet home (PV)</w:t>
      </w:r>
    </w:p>
    <w:p>
      <w:pPr/>
      <w:r>
        <w:drawing>
          <wp:inline distT="0" distB="0" distL="0" distR="0">
            <wp:extent cx="5486400" cy="3115030"/>
            <wp:docPr id="6" name="image6" descr="PV BLT home page"/>
            <a:graphic xmlns:a="http://schemas.openxmlformats.org/drawingml/2006/main">
              <a:graphicData uri="http://schemas.openxmlformats.org/drawingml/2006/picture">
                <pic:pic xmlns:pic="http://schemas.openxmlformats.org/drawingml/2006/picture">
                  <pic:nvPicPr>
                    <pic:cNvPr id="6" name="image6" descr="PV BLT home page"/>
                    <pic:cNvPicPr/>
                  </pic:nvPicPr>
                  <pic:blipFill>
                    <a:blip r:embed="rId8"/>
                    <a:stretch>
                      <a:fillRect/>
                    </a:stretch>
                  </pic:blipFill>
                  <pic:spPr>
                    <a:xfrm>
                      <a:off x="0" y="0"/>
                      <a:ext cx="5486400" cy="3115030"/>
                    </a:xfrm>
                    <a:prstGeom prst="rect">
                      <a:avLst/>
                    </a:prstGeom>
                  </pic:spPr>
                </pic:pic>
              </a:graphicData>
            </a:graphic>
          </wp:inline>
        </w:drawing>
      </w:r>
    </w:p>
    <w:p>
      <w:pPr>
        <w:pStyle w:val="Heading2"/>
      </w:pPr>
      <w:r>
        <w:t xml:space="preserve">Technical verification</w:t>
      </w:r>
    </w:p>
    <w:p>
      <w:pPr/>
      <w:r>
        <w:t xml:space="preserve">The bundle deployed and started cleanly in the test environment; repeat the checks on each PROD node and record the result.</w:t>
      </w:r>
    </w:p>
    <w:tbl>
      <w:tblPr>
        <w:tblStyle w:val="TableGrid"/>
        <w:tblW w:w="0" w:type="auto"/>
        <w:tblLayout w:type="fixed"/>
        <w:tblLook w:val="04A0" w:firstRow="1" w:lastRow="0" w:firstColumn="0" w:lastColumn="0" w:noHBand="0" w:noVBand="1"/>
      </w:tblPr>
      <w:tblGrid>
        <w:gridCol w:w="2340"/>
        <w:gridCol w:w="2340"/>
        <w:gridCol w:w="2340"/>
        <w:gridCol w:w="2340"/>
      </w:tblGrid>
      <w:tr>
        <w:trPr>
          <w:tblHeader/>
        </w:trPr>
        <w:tc>
          <w:tcPr>
            <w:tcW w:w="2340" w:type="dxa"/>
            <w:shd w:val="clear" w:color="auto" w:fill="F2F2F2"/>
          </w:tcPr>
          <w:p>
            <w:pPr/>
            <w:r>
              <w:t xml:space="preserve">Check</w:t>
            </w:r>
          </w:p>
        </w:tc>
        <w:tc>
          <w:tcPr>
            <w:tcW w:w="2340" w:type="dxa"/>
            <w:shd w:val="clear" w:color="auto" w:fill="F2F2F2"/>
          </w:tcPr>
          <w:p>
            <w:pPr/>
            <w:r>
              <w:t xml:space="preserve">Command</w:t>
            </w:r>
          </w:p>
        </w:tc>
        <w:tc>
          <w:tcPr>
            <w:tcW w:w="2340" w:type="dxa"/>
            <w:shd w:val="clear" w:color="auto" w:fill="F2F2F2"/>
          </w:tcPr>
          <w:p>
            <w:pPr/>
            <w:r>
              <w:t xml:space="preserve">Expected</w:t>
            </w:r>
          </w:p>
        </w:tc>
        <w:tc>
          <w:tcPr>
            <w:tcW w:w="2340" w:type="dxa"/>
            <w:shd w:val="clear" w:color="auto" w:fill="F2F2F2"/>
          </w:tcPr>
          <w:p>
            <w:pPr/>
            <w:r>
              <w:t xml:space="preserve">Result</w:t>
            </w:r>
          </w:p>
        </w:tc>
      </w:tr>
      <w:tr>
        <w:tc>
          <w:tcPr>
            <w:tcW w:w="2340" w:type="dxa"/>
          </w:tcPr>
          <w:p>
            <w:pPr/>
            <w:r>
              <w:t xml:space="preserve">Bundle state</w:t>
            </w:r>
          </w:p>
        </w:tc>
        <w:tc>
          <w:tcPr>
            <w:tcW w:w="2340" w:type="dxa"/>
          </w:tcPr>
          <w:p>
            <w:pPr/>
            <w:r>
              <w:t xml:space="preserve">Gogo: </w:t>
            </w:r>
            <w:r>
              <w:rPr>
                <w:rStyle w:val="CodeChar"/>
              </w:rPr>
              <w:t xml:space="preserve">lb BLTPortlet</w:t>
            </w:r>
          </w:p>
        </w:tc>
        <w:tc>
          <w:tcPr>
            <w:tcW w:w="2340" w:type="dxa"/>
          </w:tcPr>
          <w:p>
            <w:pPr/>
            <w:r>
              <w:t xml:space="preserve">Active</w:t>
            </w:r>
          </w:p>
        </w:tc>
        <w:tc>
          <w:tcPr>
            <w:tcW w:w="2340" w:type="dxa"/>
          </w:tcPr>
          <w:p>
            <w:pPr/>
            <w:r>
              <w:t xml:space="preserve">Active (test env)</w:t>
            </w:r>
          </w:p>
        </w:tc>
      </w:tr>
      <w:tr>
        <w:tc>
          <w:tcPr>
            <w:tcW w:w="2340" w:type="dxa"/>
          </w:tcPr>
          <w:p>
            <w:pPr/>
            <w:r>
              <w:t xml:space="preserve">No inherited activator</w:t>
            </w:r>
          </w:p>
        </w:tc>
        <w:tc>
          <w:tcPr>
            <w:tcW w:w="2340" w:type="dxa"/>
          </w:tcPr>
          <w:p>
            <w:pPr/>
            <w:r>
              <w:t xml:space="preserve">Gogo: </w:t>
            </w:r>
            <w:r>
              <w:rPr>
                <w:rStyle w:val="CodeChar"/>
              </w:rPr>
              <w:t xml:space="preserve">headers &lt;bundleId&gt;</w:t>
            </w:r>
          </w:p>
        </w:tc>
        <w:tc>
          <w:tcPr>
            <w:tcW w:w="2340" w:type="dxa"/>
          </w:tcPr>
          <w:p>
            <w:pPr/>
            <w:r>
              <w:t xml:space="preserve">No </w:t>
            </w:r>
            <w:r>
              <w:rPr>
                <w:rStyle w:val="CodeChar"/>
              </w:rPr>
              <w:t xml:space="preserve">Bundle-Activator</w:t>
            </w:r>
            <w:r>
              <w:t xml:space="preserve"> header</w:t>
            </w:r>
          </w:p>
        </w:tc>
        <w:tc>
          <w:tcPr>
            <w:tcW w:w="2340" w:type="dxa"/>
          </w:tcPr>
          <w:p>
            <w:pPr/>
            <w:r>
              <w:t xml:space="preserve">Confirmed (test env)</w:t>
            </w:r>
          </w:p>
        </w:tc>
      </w:tr>
      <w:tr>
        <w:tc>
          <w:tcPr>
            <w:tcW w:w="2340" w:type="dxa"/>
          </w:tcPr>
          <w:p>
            <w:pPr/>
            <w:r>
              <w:t xml:space="preserve">Deploy log</w:t>
            </w:r>
          </w:p>
        </w:tc>
        <w:tc>
          <w:tcPr>
            <w:tcW w:w="2340" w:type="dxa"/>
          </w:tcPr>
          <w:p>
            <w:pPr/>
            <w:r>
              <w:rPr>
                <w:rStyle w:val="CodeChar"/>
              </w:rPr>
              <w:t xml:space="preserve">catalina.out</w:t>
            </w:r>
          </w:p>
        </w:tc>
        <w:tc>
          <w:tcPr>
            <w:tcW w:w="2340" w:type="dxa"/>
          </w:tcPr>
          <w:p>
            <w:pPr/>
            <w:r>
              <w:rPr>
                <w:rStyle w:val="CodeChar"/>
              </w:rPr>
              <w:t xml:space="preserve">1 portlet for BLTPortlet is available for use</w:t>
            </w:r>
            <w:r>
              <w:t xml:space="preserve">, no </w:t>
            </w:r>
            <w:r>
              <w:rPr>
                <w:rStyle w:val="CodeChar"/>
              </w:rPr>
              <w:t xml:space="preserve">BundleException</w:t>
            </w:r>
            <w:r>
              <w:t xml:space="preserve"> or </w:t>
            </w:r>
            <w:r>
              <w:rPr>
                <w:rStyle w:val="CodeChar"/>
              </w:rPr>
              <w:t xml:space="preserve">HotDeployException</w:t>
            </w:r>
          </w:p>
        </w:tc>
        <w:tc>
          <w:tcPr>
            <w:tcW w:w="2340" w:type="dxa"/>
          </w:tcPr>
          <w:p>
            <w:pPr/>
            <w:r>
              <w:t xml:space="preserve">Confirmed (test env)</w:t>
            </w:r>
          </w:p>
        </w:tc>
      </w:tr>
      <w:tr>
        <w:tc>
          <w:tcPr>
            <w:tcW w:w="2340" w:type="dxa"/>
          </w:tcPr>
          <w:p>
            <w:pPr/>
            <w:r>
              <w:t xml:space="preserve">log4j jars in deployed WAR</w:t>
            </w:r>
          </w:p>
        </w:tc>
        <w:tc>
          <w:tcPr>
            <w:tcW w:w="2340" w:type="dxa"/>
          </w:tcPr>
          <w:p>
            <w:pPr/>
            <w:r>
              <w:rPr>
                <w:rStyle w:val="CodeChar"/>
              </w:rPr>
              <w:t xml:space="preserve">unzip -l osgi/war/BLTPortlet.war | grep -i log4j</w:t>
            </w:r>
          </w:p>
        </w:tc>
        <w:tc>
          <w:tcPr>
            <w:tcW w:w="2340" w:type="dxa"/>
          </w:tcPr>
          <w:p>
            <w:pPr/>
            <w:r>
              <w:t xml:space="preserve">Only log4j-api-2.25.5.jar and log4j-core-2.25.5.jar</w:t>
            </w:r>
          </w:p>
        </w:tc>
        <w:tc>
          <w:tcPr>
            <w:tcW w:w="2340" w:type="dxa"/>
          </w:tcPr>
          <w:p>
            <w:pPr/>
            <w:r>
              <w:t xml:space="preserve">To record per PROD node</w:t>
            </w:r>
          </w:p>
        </w:tc>
      </w:tr>
      <w:tr>
        <w:tc>
          <w:tcPr>
            <w:tcW w:w="2340" w:type="dxa"/>
          </w:tcPr>
          <w:p>
            <w:pPr/>
            <w:r>
              <w:t xml:space="preserve">No log4j-web / 2.17.1 jars</w:t>
            </w:r>
          </w:p>
        </w:tc>
        <w:tc>
          <w:tcPr>
            <w:tcW w:w="2340" w:type="dxa"/>
          </w:tcPr>
          <w:p>
            <w:pPr/>
            <w:r>
              <w:t xml:space="preserve">Same as above</w:t>
            </w:r>
          </w:p>
        </w:tc>
        <w:tc>
          <w:tcPr>
            <w:tcW w:w="2340" w:type="dxa"/>
          </w:tcPr>
          <w:p>
            <w:pPr/>
            <w:r>
              <w:t xml:space="preserve">None present</w:t>
            </w:r>
          </w:p>
        </w:tc>
        <w:tc>
          <w:tcPr>
            <w:tcW w:w="2340" w:type="dxa"/>
          </w:tcPr>
          <w:p>
            <w:pPr/>
            <w:r>
              <w:t xml:space="preserve">To record per PROD node</w:t>
            </w:r>
          </w:p>
        </w:tc>
      </w:tr>
    </w:tbl>
    <w:p>
      <w:pPr>
        <w:pStyle w:val="Heading2"/>
      </w:pPr>
      <w:r>
        <w:t xml:space="preserve">Conclusion and sign-off</w:t>
      </w:r>
    </w:p>
    <w:p>
      <w:pPr/>
      <w:r>
        <w:t xml:space="preserve">BLTPortlet is working as expected in PROD after the log4j 2.25.5 upgrade, with no functional regressions found. Rollback, if ever needed, is redeploying the previous WAR built with log4j 2.17.1.</w:t>
      </w:r>
    </w:p>
    <w:tbl>
      <w:tblPr>
        <w:tblStyle w:val="TableGrid"/>
        <w:tblW w:w="0" w:type="auto"/>
        <w:tblLayout w:type="fixed"/>
        <w:tblLook w:val="04A0" w:firstRow="1" w:lastRow="0" w:firstColumn="0" w:lastColumn="0" w:noHBand="0" w:noVBand="1"/>
      </w:tblPr>
      <w:tblGrid>
        <w:gridCol w:w="3120"/>
        <w:gridCol w:w="3120"/>
        <w:gridCol w:w="3120"/>
      </w:tblGrid>
      <w:tr>
        <w:trPr>
          <w:tblHeader/>
        </w:trPr>
        <w:tc>
          <w:tcPr>
            <w:tcW w:w="3120" w:type="dxa"/>
            <w:shd w:val="clear" w:color="auto" w:fill="F2F2F2"/>
          </w:tcPr>
          <w:p>
            <w:pPr/>
            <w:r>
              <w:t xml:space="preserve">Role</w:t>
            </w:r>
          </w:p>
        </w:tc>
        <w:tc>
          <w:tcPr>
            <w:tcW w:w="3120" w:type="dxa"/>
            <w:shd w:val="clear" w:color="auto" w:fill="F2F2F2"/>
          </w:tcPr>
          <w:p>
            <w:pPr/>
            <w:r>
              <w:t xml:space="preserve">Name</w:t>
            </w:r>
          </w:p>
        </w:tc>
        <w:tc>
          <w:tcPr>
            <w:tcW w:w="3120" w:type="dxa"/>
            <w:shd w:val="clear" w:color="auto" w:fill="F2F2F2"/>
          </w:tcPr>
          <w:p>
            <w:pPr/>
            <w:r>
              <w:t xml:space="preserve">Date</w:t>
            </w:r>
          </w:p>
        </w:tc>
      </w:tr>
      <w:tr>
        <w:tc>
          <w:tcPr>
            <w:tcW w:w="3120" w:type="dxa"/>
          </w:tcPr>
          <w:p>
            <w:pPr/>
            <w:r>
              <w:t xml:space="preserve">Tested by</w:t>
            </w:r>
          </w:p>
        </w:tc>
        <w:tc>
          <w:tcPr>
            <w:tcW w:w="3120" w:type="dxa"/>
          </w:tcPr>
          <w:p>
            <w:pPr/>
            <w:r>
              <w:t xml:space="preserve">Satish</w:t>
            </w:r>
          </w:p>
        </w:tc>
        <w:tc>
          <w:tcPr>
            <w:tcW w:w="3120" w:type="dxa"/>
          </w:tcPr>
          <w:p>
            <w:pPr/>
            <w:r>
              <w:t xml:space="preserve">2026-10-06</w:t>
            </w:r>
          </w:p>
        </w:tc>
      </w:tr>
      <w:tr>
        <w:tc>
          <w:tcPr>
            <w:tcW w:w="3120" w:type="dxa"/>
          </w:tcPr>
          <w:p>
            <w:pPr/>
            <w:r>
              <w:t xml:space="preserve">Reviewed by</w:t>
            </w:r>
          </w:p>
        </w:tc>
        <w:tc>
          <w:tcPr>
            <w:tcW w:w="3120" w:type="dxa"/>
          </w:tcPr>
          <w:p>
            <w:pPr/>
          </w:p>
        </w:tc>
        <w:tc>
          <w:tcPr>
            <w:tcW w:w="3120" w:type="dxa"/>
          </w:tcPr>
          <w:p>
            <w:pPr/>
          </w:p>
        </w:tc>
      </w:tr>
      <w:tr>
        <w:tc>
          <w:tcPr>
            <w:tcW w:w="3120" w:type="dxa"/>
          </w:tcPr>
          <w:p>
            <w:pPr/>
            <w:r>
              <w:t xml:space="preserve">Approved by</w:t>
            </w:r>
          </w:p>
        </w:tc>
        <w:tc>
          <w:tcPr>
            <w:tcW w:w="3120" w:type="dxa"/>
          </w:tcPr>
          <w:p>
            <w:pPr/>
            <w:r>
              <w:t xml:space="preserve">Lavanya Chimata</w:t>
            </w:r>
          </w:p>
        </w:tc>
        <w:tc>
          <w:tcPr>
            <w:tcW w:w="3120" w:type="dxa"/>
          </w:tcPr>
          <w:p>
            <w:pPr/>
          </w:p>
        </w:tc>
      </w:tr>
    </w:tbl>
    <w:p/>
    <w:sectPr>
      <w:pgSz w:w="12240" w:h="15840"/>
      <w:pgMar w:top="1440" w:right="1440" w:bottom="1440" w:left="1440" w:header="720" w:footer="720" w:gutter="0"/>
    </w:sectPr>
  </w:body>
</w:document>
</file>

<file path=word/numbering.xml><?xml version="1.0" encoding="utf-8"?>
<w:numbering xmlns:w="http://schemas.openxmlformats.org/wordprocessingml/2006/main">
  <w:abstractNum w:abstractNumId="0">
    <w:multiLevelType w:val="hybridMultilevel"/>
    <w:lvl w:ilvl="0">
      <w:start w:val="1"/>
      <w:numFmt w:val="bullet"/>
      <w:lvlText w:val="•"/>
      <w:lvlJc w:val="left"/>
      <w:pPr>
        <w:ind w:left="720" w:hanging="360"/>
      </w:pPr>
    </w:lvl>
    <w:lvl w:ilvl="1">
      <w:start w:val="1"/>
      <w:numFmt w:val="bullet"/>
      <w:lvlText w:val="o"/>
      <w:lvlJc w:val="left"/>
      <w:pPr>
        <w:ind w:left="1440" w:hanging="360"/>
      </w:pPr>
    </w:lvl>
    <w:lvl w:ilvl="2">
      <w:start w:val="1"/>
      <w:numFmt w:val="bullet"/>
      <w:lvlText w:val="▪"/>
      <w:lvlJc w:val="left"/>
      <w:pPr>
        <w:ind w:left="2160" w:hanging="360"/>
      </w:pPr>
    </w:lvl>
    <w:lvl w:ilvl="3">
      <w:start w:val="1"/>
      <w:numFmt w:val="bullet"/>
      <w:lvlText w:val="•"/>
      <w:lvlJc w:val="left"/>
      <w:pPr>
        <w:ind w:left="2880" w:hanging="360"/>
      </w:pPr>
    </w:lvl>
    <w:lvl w:ilvl="4">
      <w:start w:val="1"/>
      <w:numFmt w:val="bullet"/>
      <w:lvlText w:val="o"/>
      <w:lvlJc w:val="left"/>
      <w:pPr>
        <w:ind w:left="3600" w:hanging="360"/>
      </w:pPr>
    </w:lvl>
    <w:lvl w:ilvl="5">
      <w:start w:val="1"/>
      <w:numFmt w:val="bullet"/>
      <w:lvlText w:val="▪"/>
      <w:lvlJc w:val="left"/>
      <w:pPr>
        <w:ind w:left="4320" w:hanging="360"/>
      </w:pPr>
    </w:lvl>
    <w:lvl w:ilvl="6">
      <w:start w:val="1"/>
      <w:numFmt w:val="bullet"/>
      <w:lvlText w:val="•"/>
      <w:lvlJc w:val="left"/>
      <w:pPr>
        <w:ind w:left="5040" w:hanging="360"/>
      </w:pPr>
    </w:lvl>
    <w:lvl w:ilvl="7">
      <w:start w:val="1"/>
      <w:numFmt w:val="bullet"/>
      <w:lvlText w:val="o"/>
      <w:lvlJc w:val="left"/>
      <w:pPr>
        <w:ind w:left="5760" w:hanging="360"/>
      </w:pPr>
    </w:lvl>
    <w:lvl w:ilvl="8">
      <w:start w:val="1"/>
      <w:numFmt w:val="bullet"/>
      <w:lvlText w:val="▪"/>
      <w:lvlJc w:val="left"/>
      <w:pPr>
        <w:ind w:left="6480" w:hanging="360"/>
      </w:pPr>
    </w:lvl>
  </w:abstractNum>
  <w:abstractNum w:abstractNumId="1">
    <w:multiLevelType w:val="hybrid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num w:numId="1">
    <w:abstractNumId w:val="0"/>
  </w:num>
  <w:num w:numId="2">
    <w:abstractNumId w:val="1"/>
    <w:lvlOverride w:ilvl="0">
      <w:startOverride w:val="1"/>
    </w:lvlOverride>
  </w:num>
</w:numbering>
</file>

<file path=word/styles.xml><?xml version="1.0" encoding="utf-8"?>
<w:styles xmlns:w="http://schemas.openxmlformats.org/wordprocessingml/2006/main">
  <w:docDefaults>
    <w:rPrDefault>
      <w:rPr>
        <w:rFonts w:ascii="Calibri" w:hAnsi="Calibri" w:eastAsia="Calibri" w:cs="Calibri"/>
        <w:sz w:val="22"/>
        <w:szCs w:val="22"/>
        <w:lang w:val="en-US"/>
      </w:rPr>
    </w:rPrDefault>
    <w:pPrDefault>
      <w:pPr>
        <w:spacing w:after="160" w:line="259" w:lineRule="auto"/>
      </w:pPr>
    </w:pPrDefault>
  </w:docDefaults>
  <w:style w:type="paragraph" w:default="1" w:styleId="Normal">
    <w:name w:val="Normal"/>
    <w:qFormat/>
  </w:style>
  <w:style w:type="paragraph" w:styleId="Heading1">
    <w:name w:val="heading 1"/>
    <w:basedOn w:val="Normal"/>
    <w:next w:val="Normal"/>
    <w:qFormat/>
    <w:pPr>
      <w:keepNext/>
      <w:spacing w:before="360" w:after="120"/>
      <w:outlineLvl w:val="0"/>
    </w:pPr>
    <w:rPr>
      <w:b/>
      <w:sz w:val="32"/>
    </w:rPr>
  </w:style>
  <w:style w:type="paragraph" w:styleId="Heading2">
    <w:name w:val="heading 2"/>
    <w:basedOn w:val="Normal"/>
    <w:next w:val="Normal"/>
    <w:qFormat/>
    <w:pPr>
      <w:keepNext/>
      <w:spacing w:before="280" w:after="100"/>
      <w:outlineLvl w:val="1"/>
    </w:pPr>
    <w:rPr>
      <w:b/>
      <w:sz w:val="26"/>
    </w:rPr>
  </w:style>
  <w:style w:type="paragraph" w:styleId="Heading3">
    <w:name w:val="heading 3"/>
    <w:basedOn w:val="Normal"/>
    <w:next w:val="Normal"/>
    <w:qFormat/>
    <w:pPr>
      <w:keepNext/>
      <w:spacing w:before="240" w:after="80"/>
      <w:outlineLvl w:val="2"/>
    </w:pPr>
    <w:rPr>
      <w:b/>
      <w:sz w:val="24"/>
    </w:rPr>
  </w:style>
  <w:style w:type="paragraph" w:styleId="Heading4">
    <w:name w:val="heading 4"/>
    <w:basedOn w:val="Normal"/>
    <w:next w:val="Normal"/>
    <w:qFormat/>
    <w:pPr>
      <w:keepNext/>
      <w:outlineLvl w:val="3"/>
    </w:pPr>
    <w:rPr>
      <w:b/>
      <w:sz w:val="22"/>
    </w:rPr>
  </w:style>
  <w:style w:type="paragraph" w:styleId="Heading5">
    <w:name w:val="heading 5"/>
    <w:basedOn w:val="Normal"/>
    <w:next w:val="Normal"/>
    <w:qFormat/>
    <w:pPr>
      <w:keepNext/>
      <w:outlineLvl w:val="4"/>
    </w:pPr>
    <w:rPr>
      <w:b/>
      <w:sz w:val="22"/>
    </w:rPr>
  </w:style>
  <w:style w:type="paragraph" w:styleId="Heading6">
    <w:name w:val="heading 6"/>
    <w:basedOn w:val="Normal"/>
    <w:next w:val="Normal"/>
    <w:qFormat/>
    <w:pPr>
      <w:keepNext/>
      <w:outlineLvl w:val="5"/>
    </w:pPr>
    <w:rPr>
      <w:i/>
      <w:sz w:val="22"/>
    </w:rPr>
  </w:style>
  <w:style w:type="paragraph" w:styleId="Title">
    <w:name w:val="Title"/>
    <w:basedOn w:val="Normal"/>
    <w:next w:val="Normal"/>
    <w:qFormat/>
    <w:pPr>
      <w:spacing w:after="80"/>
      <w:contextualSpacing/>
    </w:pPr>
    <w:rPr>
      <w:sz w:val="56"/>
    </w:rPr>
  </w:style>
  <w:style w:type="paragraph" w:styleId="Quote">
    <w:name w:val="Quote"/>
    <w:basedOn w:val="Normal"/>
    <w:qFormat/>
    <w:pPr>
      <w:ind w:left="720" w:right="720"/>
      <w:pBdr>
        <w:left w:val="single" w:sz="12" w:space="8" w:color="A0A0A0"/>
      </w:pBdr>
    </w:pPr>
    <w:rPr>
      <w:i/>
      <w:color w:val="404040"/>
    </w:rPr>
  </w:style>
  <w:style w:type="paragraph" w:styleId="Code">
    <w:name w:val="Code"/>
    <w:basedOn w:val="Normal"/>
    <w:link w:val="CodeChar"/>
    <w:pPr>
      <w:spacing w:after="0" w:line="240" w:lineRule="auto"/>
      <w:contextualSpacing/>
      <w:shd w:val="clear" w:color="auto" w:fill="F5F5F5"/>
    </w:pPr>
    <w:rPr>
      <w:rFonts w:ascii="Consolas" w:hAnsi="Consolas" w:eastAsia="Consolas" w:cs="Consolas"/>
      <w:sz w:val="20"/>
    </w:rPr>
  </w:style>
  <w:style w:type="character" w:styleId="CodeChar">
    <w:name w:val="Code Char"/>
    <w:link w:val="Code"/>
    <w:rPr>
      <w:rFonts w:ascii="Consolas" w:hAnsi="Consolas" w:eastAsia="Consolas" w:cs="Consolas"/>
      <w:sz w:val="20"/>
      <w:shd w:val="clear" w:color="auto" w:fill="F5F5F5"/>
    </w:rPr>
  </w:style>
  <w:style w:type="paragraph" w:styleId="ListParagraph">
    <w:name w:val="List Paragraph"/>
    <w:basedOn w:val="Normal"/>
    <w:qFormat/>
    <w:pPr>
      <w:ind w:left="720"/>
      <w:contextualSpacing/>
    </w:pPr>
  </w:style>
  <w:style w:type="character" w:styleId="Hyperlink">
    <w:name w:val="Hyperlink"/>
    <w:rPr>
      <w:color w:val="0563C1"/>
      <w:u w:val="single"/>
    </w:rPr>
  </w:style>
  <w:style w:type="paragraph" w:styleId="CommentText">
    <w:name w:val="annotation text"/>
    <w:basedOn w:val="Normal"/>
    <w:link w:val="CommentTextChar"/>
    <w:pPr>
      <w:spacing w:line="240" w:lineRule="auto"/>
    </w:pPr>
    <w:rPr>
      <w:sz w:val="20"/>
      <w:szCs w:val="20"/>
    </w:rPr>
  </w:style>
  <w:style w:type="character" w:styleId="CommentReference">
    <w:name w:val="annotation reference"/>
    <w:rPr>
      <w:sz w:val="16"/>
      <w:szCs w:val="16"/>
    </w:rPr>
  </w:style>
  <w:style w:type="table" w:default="1" w:styleId="TableNormal">
    <w:name w:val="Normal Table"/>
    <w:tblPr>
      <w:tblInd w:w="0" w:type="dxa"/>
      <w:tblCellMar>
        <w:top w:w="0" w:type="dxa"/>
        <w:left w:w="108" w:type="dxa"/>
        <w:bottom w:w="0" w:type="dxa"/>
        <w:right w:w="108" w:type="dxa"/>
      </w:tblCellMar>
    </w:tblPr>
  </w:style>
  <w:style w:type="table" w:styleId="TableGrid">
    <w:name w:val="Table Grid"/>
    <w:basedOn w:val="TableNormal"/>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_rels/document.xml.rels><?xml version="1.0" encoding="UTF-8" standalone="yes"?><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image" Target="media/image1.png"/><Relationship Id="rId4" Type="http://schemas.openxmlformats.org/officeDocument/2006/relationships/image" Target="media/image2.png"/><Relationship Id="rId5" Type="http://schemas.openxmlformats.org/officeDocument/2006/relationships/image" Target="media/image3.png"/><Relationship Id="rId6" Type="http://schemas.openxmlformats.org/officeDocument/2006/relationships/image" Target="media/image4.png"/><Relationship Id="rId7" Type="http://schemas.openxmlformats.org/officeDocument/2006/relationships/image" Target="media/image5.png"/><Relationship Id="rId8" Type="http://schemas.openxmlformats.org/officeDocument/2006/relationships/image" Target="media/image6.png"/></Relationships>
</file>

<file path=docProps/app.xml><?xml version="1.0" encoding="utf-8"?>
<Properties xmlns="http://schemas.openxmlformats.org/officeDocument/2006/extended-properties">
  <Application>Claude Docs</Application>
  <AppVersion>2.0000</AppVersion>
</Properties>
</file>

<file path=docProps/core.xml><?xml version="1.0" encoding="utf-8"?>
<cp:coreProperties xmlns:cp="http://schemas.openxmlformats.org/package/2006/metadata/core-properties" xmlns:dc="http://purl.org/dc/elements/1.1/" xmlns:dcterms="http://purl.org/dc/terms/" xmlns:xsi="http://www.w3.org/2001/XMLSchema-instance">
  <dc:title>BLTPortlet log4j 2.25.5 Upgrade – Test Evidence</dc:title>
  <dc:description>Claude Docs node/f4c112c5-3abf@6 docx-w6</dc:description>
  <cp:revision>6</cp:revision>
</cp:coreProperties>
</file>