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32"/>
          <w:szCs w:val="32"/>
        </w:rPr>
        <w:t xml:space="preserve">Co-Branding Partner Form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17-Question Enhancement — UI Test Cases &amp; PV Results</w:t>
      </w:r>
    </w:p>
    <w:p>
      <w:pPr>
        <w:spacing w:after="140"/>
      </w:pPr>
      <w:r>
        <w:rPr>
          <w:color w:val="595959"/>
          <w:sz w:val="20"/>
          <w:szCs w:val="20"/>
        </w:rPr>
        <w:t xml:space="preserve">BlueWeb Associate Portal  |  Brand Use — Co-Branding  |  BrpPortlet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Cases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 Defects</w:t>
            </w:r>
          </w:p>
        </w:tc>
      </w:tr>
      <w:tr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PV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51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51</w:t>
            </w:r>
          </w:p>
        </w:tc>
        <w:tc>
          <w:tcPr>
            <w:tcW w:type="dxa" w:w="234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19"/>
          <w:szCs w:val="19"/>
        </w:rPr>
        <w:t xml:space="preserve">Note: Two defects were identified during PV testing (Group Account Type displaying on new requests; conditional field values persisting after the parent answer was changed to No). Both were fixed, redeployed to PV, and re-tested successfully. No open defects remain.</w:t>
      </w:r>
    </w:p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A. Brand Questions (Q1 – Q9)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800"/>
        <w:gridCol w:w="2050"/>
        <w:gridCol w:w="1460"/>
      </w:tblGrid>
      <w:tr>
        <w:trPr>
          <w:tblHeader/>
        </w:trP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Test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PV Result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 — Yes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Q1, select Yes.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Proceeds to next question. No popup.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 — No (popup)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Q1, select No.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Popup appears stating co-branding requests should use the legal name of the unlicensed entity. Cannot proceed; selection clears.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Q2 — Yes (date field)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Q2, select Yes.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required date field appears asking for the license agreement / application date (MM/DD/YYYY).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Q2 — No (text)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Q2, select No.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 grey text appears confirming the Brands do not appear on a debit/reward card.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Q2 — retain on toggle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a date with Yes, switch to No, then back to Yes.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Previously entered date is still there (not cleared).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Q2 — submit with No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a date with Yes, switch to No, submit.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the No answer is saved. The date is not retained on the submitted request.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Q3 — Yes (checkbox)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Q3, select Yes.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Acknowledgement checkbox appears directly under Yes. Checking it allows proceeding.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Q3 — No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Q3, select No.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Proceeds to next question.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Q4 — Yes (fields)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Q4, select Yes.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text fields (links to misuse, contact name &amp; email) and an acknowledgement checkbox appear under Yes.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Q4 — retain on toggle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values with Yes, switch to No, then back to Yes.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Entered text is preserved (not cleared).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Q4 — submit with No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values with Yes, switch to No, submit.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the No answer is saved; the entered links / contact / acknowledgement are not retained.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Q5 — Yes (fields)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Q5, select Yes.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 field, contact field, and acknowledgement checkbox appear under Yes.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Q5 — retain on toggle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values, toggle No then Yes.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Entered text preserved.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Q5 — submit with No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values with Yes, switch to No, submit.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the No answer is saved; sub-field values are not retained.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Q6 — No (popup)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Q6, select No.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Popup states co-branding partners must be financially stable. Cannot proceed; selection clears.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Q7 — Yes (popup)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Q7, select Yes.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Popup states co-branding partners cannot have a felony conviction. Cannot proceed; selection clears.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Q8 — wording &amp; link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Q8 question text. Click the 'lists' link.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includes 'brand conflict' in the examples. 'lists' is a hyperlink that opens the reports page in a new tab.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Q8 — option 1 (Yes)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'Yes, the company does not appear on any of the applicable lists.'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Proceeds with no popup.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Q8 — option 2 (exception)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'Yes, the company appears on one or more lists, but they are solely providing PBM services or an exception has been documented...'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Proceeds with no popup.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Q8 — No (popup)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No.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Popup regarding PBM services / documented exception appears. Selection clears.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Q9 — Yes (popup)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Q9, select Yes.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Popup states the company may not have a reputation that dilutes/tarnishes the Brands. Cannot proceed; selection clears.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B. Service Categories &amp; IPP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800"/>
        <w:gridCol w:w="2050"/>
        <w:gridCol w:w="1460"/>
      </w:tblGrid>
      <w:tr>
        <w:trPr>
          <w:tblHeader/>
        </w:trP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Test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PV Result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Section order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Scroll through the form.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is: Brand Questions (Q1-Q9) → Choose Service Categories → IPP questions (Q10-Q17) → State of Incorporation.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Non-triggering category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 category like Affinity Discount Programs only.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IPP questions (Q10-Q17) do NOT appear.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Triggering category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Care and Disease Management (or Mental Health).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IPP questions (Q10-Q17) appear below the categories.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'Other' triggers IPP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the 'Other' category and type a value in the box.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IPP questions (Q10-Q17) appear.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Layout — separator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 between Q9 and the Service Categories heading.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separator line (not double).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Layout — State of Incorporation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 below the service categories grid.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of Incorporation appears on its own line (not beside Telehealth).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C. Inter-Plan Policy Questions (Q10 – Q17)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800"/>
        <w:gridCol w:w="2050"/>
        <w:gridCol w:w="1460"/>
      </w:tblGrid>
      <w:tr>
        <w:trPr>
          <w:tblHeader/>
        </w:trP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Test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PV Result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Q10 — mandatory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 IPP. Try to submit leaving Q10 blank.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Cannot submit; Q10 is required. Alert message references the Plan's IPP team.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Q11 — Carveout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Carveout on Q11.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further IPP questions appear (Q12-Q17 stay hidden).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Q11 — Other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Other on Q11.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description box appears AND only Q14 appears next (Q12, Q13, Q15, Q16 stay hidden initially).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Q11 Other → Q14 answered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 Q11=Other, answer Q14.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Q15 and Q16 now appear.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Q11 — Claim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'Generates a claim...' on Q11.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Q12 appears.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Q12 — No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 Q11=Claim, select No on Q12.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Q14, Q15, Q16 appear together (Q13 stays hidden).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Q12 — Yes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 Q11=Claim, select Yes on Q12.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Q13 appears.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Q13 — Yes (stop)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 Q12=Yes, select Yes on Q13.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further questions appear (Q14-Q17 stay hidden).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Q13 — No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 Q12=Yes, select No on Q13.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Q14, Q15, Q16 appear.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Q14 — wording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Q14 question text.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 '...reside outside of your Plan's service area?' (with apostrophe).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Q14 — mandatory alert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with Q14 blank.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 message references the Plan's service area.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Q16 — Yes shows Q17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Yes on Q16.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Q17 appears as its own separate question (not nested inside Q16).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Q16 — mandatory alert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with Q16 blank.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 message references the Plan's service area.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Q17 — mandatory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 Q16=Yes, submit leaving Q17 blank.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Cannot submit; Q17 is required.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Path switching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the Claim → Q12=Yes → Q13=No path, fill Q14-Q17, then change Q11 to Carveout and submit.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the Carveout answer is saved. The abandoned Q12-Q17 answers are not retained on the submitted request.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D. General Display &amp;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500"/>
        <w:gridCol w:w="2800"/>
        <w:gridCol w:w="2050"/>
        <w:gridCol w:w="1460"/>
      </w:tblGrid>
      <w:tr>
        <w:trPr>
          <w:tblHeader/>
        </w:trP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Test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PV Result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 question numbers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the whole form.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question shows a leading number (1., 2., 3., ...).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 numbers in preview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a request and open its review / preview page.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Questions display without numbers.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Full submission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all applicable questions and submit.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 saves successfully and confirmation is shown.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Save for Later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 part of the form, click Save for Later, reopen the draft.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entered answers are retained; nothing is lost.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Legacy record — display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a request created before this change (My History).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Old request displays correctly with no errors.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48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Legacy record — modify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an old request and modify it.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 can be modified; the request number is retained; original legacy values remain in place.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49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Group Account Type — new request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a new request and open the review and workflow queue screens.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Account Type is not displayed on the form, review screen, or workflow queue.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Group Account Type — legacy request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a legacy request that has a Group Account Type value.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Account Type is still displayed for the legacy record.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51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Approver view</w:t>
            </w:r>
          </w:p>
        </w:tc>
        <w:tc>
          <w:tcPr>
            <w:tcW w:type="dxa" w:w="2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a submitted request in the workflow / review screen.</w:t>
            </w:r>
          </w:p>
        </w:tc>
        <w:tc>
          <w:tcPr>
            <w:tcW w:type="dxa" w:w="205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answered questions display correctly.</w:t>
            </w:r>
          </w:p>
        </w:tc>
        <w:tc>
          <w:tcPr>
            <w:tcW w:type="dxa" w:w="14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7C41"/>
                <w:sz w:val="18"/>
                <w:szCs w:val="18"/>
              </w:rPr>
              <w:t xml:space="preserve">PASS</w:t>
            </w:r>
          </w:p>
        </w:tc>
      </w:tr>
    </w:tbl>
    <w:p>
      <w:pPr>
        <w:pBdr>
          <w:bottom w:val="single" w:color="2E75B6" w:sz="2"/>
        </w:pBdr>
        <w:shd w:fill="2E75B6" w:val="clear"/>
        <w:spacing w:after="0" w:before="240"/>
      </w:pPr>
      <w:r>
        <w:rPr>
          <w:b/>
          <w:bCs/>
          <w:color w:val="FFFFFF"/>
          <w:sz w:val="22"/>
          <w:szCs w:val="22"/>
        </w:rPr>
        <w:t xml:space="preserve">E. Sign-Off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All 51 test cases were executed in the PV environment and passed. No open defects remain.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Tested By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F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800" w:bottom="11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4" w:space="4"/>
      </w:pBdr>
      <w:jc w:val="center"/>
    </w:pPr>
    <w:r>
      <w:rPr>
        <w:color w:val="808080"/>
        <w:sz w:val="16"/>
        <w:szCs w:val="16"/>
      </w:rPr>
      <w:t xml:space="preserve">BCBSA — Co-Branding 17-Question Enhancement  |  UI Test Cases &amp; PV Results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40"/>
    </w:pPr>
    <w:r>
      <w:rPr>
        <w:b/>
        <w:bCs/>
        <w:color w:val="1F4E79"/>
        <w:sz w:val="20"/>
        <w:szCs w:val="20"/>
      </w:rPr>
      <w:t xml:space="preserve">Blue Cross Blue Shield Association</w:t>
    </w:r>
    <w:r>
      <w:rPr>
        <w:color w:val="595959"/>
        <w:sz w:val="18"/>
        <w:szCs w:val="18"/>
      </w:rPr>
      <w:t xml:space="preserve">   |   BlueWeb Associate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2026-07-14T03:38:06.224Z</dcterms:created>
  <dcterms:modified xsi:type="dcterms:W3CDTF">2026-07-14T03:38:06.225Z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