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D2461"/>
            <w:tcMar>
              <w:top w:w="720" w:type="dxa"/>
              <w:bottom w:w="720" w:type="dxa"/>
              <w:left w:w="720" w:type="dxa"/>
              <w:right w:w="720" w:type="dxa"/>
            </w:tcMar>
          </w:tcPr>
          <w:p>
            <w:r/>
          </w:p>
          <w:p>
            <w:pPr>
              <w:jc w:val="center"/>
            </w:pPr>
            <w:r>
              <w:rPr>
                <w:rFonts w:ascii="Calibri" w:hAnsi="Calibri"/>
                <w:b/>
                <w:color w:val="FFFFFF"/>
                <w:sz w:val="72"/>
              </w:rPr>
              <w:t>HealthPlus</w:t>
            </w:r>
          </w:p>
          <w:p>
            <w:pPr>
              <w:jc w:val="center"/>
            </w:pPr>
            <w:r>
              <w:rPr>
                <w:rFonts w:ascii="Calibri" w:hAnsi="Calibri"/>
                <w:b w:val="0"/>
                <w:color w:val="7ED8E8"/>
                <w:sz w:val="40"/>
              </w:rPr>
              <w:t>Hospital Management System</w:t>
            </w:r>
          </w:p>
          <w:p>
            <w:pPr>
              <w:jc w:val="center"/>
            </w:pPr>
            <w:r>
              <w:rPr>
                <w:rFonts w:ascii="Calibri" w:hAnsi="Calibri"/>
                <w:b w:val="0"/>
                <w:color w:val="FFFFFF"/>
                <w:sz w:val="12"/>
              </w:rPr>
            </w:r>
          </w:p>
          <w:p>
            <w:pPr>
              <w:jc w:val="center"/>
            </w:pPr>
            <w:r>
              <w:rPr>
                <w:rFonts w:ascii="Calibri" w:hAnsi="Calibri"/>
                <w:b/>
                <w:color w:val="F59E0B"/>
                <w:sz w:val="32"/>
              </w:rPr>
              <w:t>CLIENT PROPOSAL</w:t>
            </w:r>
          </w:p>
          <w:p>
            <w:pPr>
              <w:jc w:val="center"/>
            </w:pPr>
            <w:r>
              <w:rPr>
                <w:rFonts w:ascii="Calibri" w:hAnsi="Calibri"/>
                <w:b w:val="0"/>
                <w:color w:val="FFFFFF"/>
                <w:sz w:val="12"/>
              </w:rPr>
            </w:r>
          </w:p>
          <w:p>
            <w:pPr>
              <w:jc w:val="center"/>
            </w:pPr>
            <w:r>
              <w:rPr>
                <w:rFonts w:ascii="Calibri" w:hAnsi="Calibri"/>
                <w:b w:val="0"/>
                <w:color w:val="B0D4DA"/>
                <w:sz w:val="26"/>
              </w:rPr>
              <w:t>A Complete Digital Solution for</w:t>
              <w:br/>
              <w:t>Hospitals up to 50 Beds | Tamil Nadu, India</w:t>
            </w:r>
          </w:p>
        </w:tc>
      </w:tr>
    </w:tbl>
    <w:p/>
    <w:tbl>
      <w:tblPr>
        <w:tblW w:type="auto" w:w="0"/>
        <w:jc w:val="center"/>
        <w:tblLook w:firstColumn="1" w:firstRow="1" w:lastColumn="0" w:lastRow="0" w:noHBand="0" w:noVBand="1" w:val="04A0"/>
      </w:tblPr>
      <w:tblGrid>
        <w:gridCol w:w="4680"/>
        <w:gridCol w:w="4680"/>
      </w:tblGrid>
      <w:tr>
        <w:tc>
          <w:tcPr>
            <w:tcW w:type="dxa" w:w="4680"/>
            <w:shd w:val="clear" w:color="auto" w:fill="EBF8FA"/>
            <w:tcBorders>
              <w:top w:val="single" w:sz="4" w:space="0" w:color="CCCCCC"/>
              <w:bottom w:val="single" w:sz="4" w:space="0" w:color="CCCCCC"/>
              <w:left w:val="single" w:sz="4" w:space="0" w:color="CCCCCC"/>
              <w:right w:val="single" w:sz="4" w:space="0" w:color="CCCCCC"/>
            </w:tcBorders>
          </w:tcPr>
          <w:p>
            <w:r/>
            <w:r>
              <w:rPr>
                <w:rFonts w:ascii="Calibri" w:hAnsi="Calibri"/>
                <w:b w:val="0"/>
                <w:color w:val="64748B"/>
                <w:sz w:val="20"/>
              </w:rPr>
              <w:t>Prepared For</w:t>
            </w:r>
          </w:p>
          <w:p>
            <w:r>
              <w:rPr>
                <w:rFonts w:ascii="Calibri" w:hAnsi="Calibri"/>
                <w:b/>
                <w:color w:val="0D2461"/>
                <w:sz w:val="24"/>
              </w:rPr>
              <w:t>[Hospital / Client Name]</w:t>
            </w:r>
          </w:p>
          <w:p>
            <w:r>
              <w:rPr>
                <w:rFonts w:ascii="Calibri" w:hAnsi="Calibri"/>
                <w:b w:val="0"/>
                <w:color w:val="64748B"/>
                <w:sz w:val="20"/>
              </w:rPr>
              <w:t>Tamil Nadu, India</w:t>
            </w:r>
          </w:p>
        </w:tc>
        <w:tc>
          <w:tcPr>
            <w:tcW w:type="dxa" w:w="4680"/>
            <w:shd w:val="clear" w:color="auto" w:fill="EBF8FA"/>
            <w:tcBorders>
              <w:top w:val="single" w:sz="4" w:space="0" w:color="CCCCCC"/>
              <w:bottom w:val="single" w:sz="4" w:space="0" w:color="CCCCCC"/>
              <w:left w:val="single" w:sz="4" w:space="0" w:color="CCCCCC"/>
              <w:right w:val="single" w:sz="4" w:space="0" w:color="CCCCCC"/>
            </w:tcBorders>
          </w:tcPr>
          <w:p>
            <w:r/>
            <w:r>
              <w:rPr>
                <w:rFonts w:ascii="Calibri" w:hAnsi="Calibri"/>
                <w:b w:val="0"/>
                <w:color w:val="64748B"/>
                <w:sz w:val="20"/>
              </w:rPr>
              <w:t>Date of Proposal</w:t>
            </w:r>
          </w:p>
          <w:p>
            <w:r>
              <w:rPr>
                <w:rFonts w:ascii="Calibri" w:hAnsi="Calibri"/>
                <w:b/>
                <w:color w:val="0D2461"/>
                <w:sz w:val="24"/>
              </w:rPr>
              <w:t>March 2026</w:t>
            </w:r>
          </w:p>
          <w:p>
            <w:r>
              <w:rPr>
                <w:rFonts w:ascii="Calibri" w:hAnsi="Calibri"/>
                <w:b w:val="0"/>
                <w:color w:val="64748B"/>
                <w:sz w:val="20"/>
              </w:rPr>
              <w:t>Valid for 60 days</w:t>
            </w:r>
          </w:p>
        </w:tc>
      </w:tr>
    </w:tbl>
    <w:p>
      <w:pPr>
        <w:spacing w:before="0" w:after="0"/>
      </w:pPr>
      <w:r>
        <w:br w:type="page"/>
      </w:r>
    </w:p>
    <w:p>
      <w:pPr>
        <w:pStyle w:val="Heading1"/>
        <w:spacing w:before="360" w:after="120"/>
      </w:pPr>
      <w:r>
        <w:rPr>
          <w:rFonts w:ascii="Calibri" w:hAnsi="Calibri"/>
          <w:b/>
          <w:color w:val="0D2461"/>
          <w:sz w:val="40"/>
        </w:rPr>
        <w:t>1. Executive Summary</w:t>
      </w:r>
    </w:p>
    <w:p>
      <w:pPr>
        <w:spacing w:before="80" w:after="160"/>
        <w:pBdr>
          <w:bottom w:val="single" w:sz="8" w:space="1" w:color="028090"/>
        </w:pBdr>
      </w:pPr>
    </w:p>
    <w:p>
      <w:pPr>
        <w:spacing w:before="60" w:after="60"/>
        <w:jc w:val="left"/>
      </w:pPr>
      <w:r>
        <w:rPr>
          <w:rFonts w:ascii="Calibri" w:hAnsi="Calibri"/>
          <w:b w:val="0"/>
          <w:i w:val="0"/>
          <w:color w:val="1E293B"/>
          <w:sz w:val="22"/>
        </w:rPr>
        <w:t>HealthPlus HMS is a comprehensive, web-based Hospital Management System purpose-built for small and mid-size hospitals. It digitises every aspect of hospital operations — from patient registration and doctor appointments to pharmacy, billing, inventory, and staff management — through a single, unified platform.</w:t>
      </w:r>
    </w:p>
    <w:p>
      <w:pPr>
        <w:spacing w:before="120" w:after="60"/>
        <w:jc w:val="left"/>
      </w:pPr>
      <w:r>
        <w:rPr>
          <w:rFonts w:ascii="Calibri" w:hAnsi="Calibri"/>
          <w:b w:val="0"/>
          <w:i w:val="0"/>
          <w:color w:val="1E293B"/>
          <w:sz w:val="22"/>
        </w:rPr>
        <w:t>Designed specifically for hospitals with up to 50 beds in Tamil Nadu, HealthPlus HMS combines ease of use with clinical precision, enabling your team to deliver faster, more accurate, and more efficient care.</w:t>
      </w:r>
    </w:p>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028090"/>
          </w:tcPr>
          <w:p>
            <w:pPr>
              <w:jc w:val="center"/>
            </w:pPr>
            <w:r/>
            <w:r>
              <w:rPr>
                <w:rFonts w:ascii="Calibri" w:hAnsi="Calibri"/>
                <w:b/>
                <w:color w:val="FFFFFF"/>
                <w:sz w:val="44"/>
              </w:rPr>
              <w:t>10+</w:t>
            </w:r>
          </w:p>
          <w:p>
            <w:pPr>
              <w:jc w:val="center"/>
            </w:pPr>
            <w:r>
              <w:rPr>
                <w:rFonts w:ascii="Calibri" w:hAnsi="Calibri"/>
                <w:color w:val="B0D4DA"/>
                <w:sz w:val="18"/>
              </w:rPr>
              <w:t>Integrated Modules</w:t>
            </w:r>
          </w:p>
        </w:tc>
        <w:tc>
          <w:tcPr>
            <w:tcW w:type="dxa" w:w="2304"/>
            <w:shd w:val="clear" w:color="auto" w:fill="0D2461"/>
          </w:tcPr>
          <w:p>
            <w:pPr>
              <w:jc w:val="center"/>
            </w:pPr>
            <w:r/>
            <w:r>
              <w:rPr>
                <w:rFonts w:ascii="Calibri" w:hAnsi="Calibri"/>
                <w:b/>
                <w:color w:val="FFFFFF"/>
                <w:sz w:val="44"/>
              </w:rPr>
              <w:t>36+</w:t>
            </w:r>
          </w:p>
          <w:p>
            <w:pPr>
              <w:jc w:val="center"/>
            </w:pPr>
            <w:r>
              <w:rPr>
                <w:rFonts w:ascii="Calibri" w:hAnsi="Calibri"/>
                <w:color w:val="B0D4DA"/>
                <w:sz w:val="18"/>
              </w:rPr>
              <w:t>Database Tables</w:t>
            </w:r>
          </w:p>
        </w:tc>
        <w:tc>
          <w:tcPr>
            <w:tcW w:type="dxa" w:w="2304"/>
            <w:shd w:val="clear" w:color="auto" w:fill="028090"/>
          </w:tcPr>
          <w:p>
            <w:pPr>
              <w:jc w:val="center"/>
            </w:pPr>
            <w:r/>
            <w:r>
              <w:rPr>
                <w:rFonts w:ascii="Calibri" w:hAnsi="Calibri"/>
                <w:b/>
                <w:color w:val="FFFFFF"/>
                <w:sz w:val="44"/>
              </w:rPr>
              <w:t>100%</w:t>
            </w:r>
          </w:p>
          <w:p>
            <w:pPr>
              <w:jc w:val="center"/>
            </w:pPr>
            <w:r>
              <w:rPr>
                <w:rFonts w:ascii="Calibri" w:hAnsi="Calibri"/>
                <w:color w:val="B0D4DA"/>
                <w:sz w:val="18"/>
              </w:rPr>
              <w:t>Web-Based</w:t>
            </w:r>
          </w:p>
        </w:tc>
        <w:tc>
          <w:tcPr>
            <w:tcW w:type="dxa" w:w="2304"/>
            <w:shd w:val="clear" w:color="auto" w:fill="0D2461"/>
          </w:tcPr>
          <w:p>
            <w:pPr>
              <w:jc w:val="center"/>
            </w:pPr>
            <w:r/>
            <w:r>
              <w:rPr>
                <w:rFonts w:ascii="Calibri" w:hAnsi="Calibri"/>
                <w:b/>
                <w:color w:val="FFFFFF"/>
                <w:sz w:val="44"/>
              </w:rPr>
              <w:t>24/7</w:t>
            </w:r>
          </w:p>
          <w:p>
            <w:pPr>
              <w:jc w:val="center"/>
            </w:pPr>
            <w:r>
              <w:rPr>
                <w:rFonts w:ascii="Calibri" w:hAnsi="Calibri"/>
                <w:color w:val="B0D4DA"/>
                <w:sz w:val="18"/>
              </w:rPr>
              <w:t>System Availability</w:t>
            </w:r>
          </w:p>
        </w:tc>
      </w:tr>
    </w:tbl>
    <w:p/>
    <w:p>
      <w:pPr>
        <w:spacing w:before="0" w:after="0"/>
      </w:pPr>
      <w:r>
        <w:br w:type="page"/>
      </w:r>
    </w:p>
    <w:p>
      <w:pPr>
        <w:pStyle w:val="Heading1"/>
        <w:spacing w:before="360" w:after="120"/>
      </w:pPr>
      <w:r>
        <w:rPr>
          <w:rFonts w:ascii="Calibri" w:hAnsi="Calibri"/>
          <w:b/>
          <w:color w:val="0D2461"/>
          <w:sz w:val="40"/>
        </w:rPr>
        <w:t>2. System Modules and Features</w:t>
      </w:r>
    </w:p>
    <w:p>
      <w:pPr>
        <w:spacing w:before="80" w:after="160"/>
        <w:pBdr>
          <w:bottom w:val="single" w:sz="8" w:space="1" w:color="028090"/>
        </w:pBdr>
      </w:pPr>
    </w:p>
    <w:p>
      <w:pPr>
        <w:spacing w:before="60" w:after="60"/>
        <w:jc w:val="left"/>
      </w:pPr>
      <w:r>
        <w:rPr>
          <w:rFonts w:ascii="Calibri" w:hAnsi="Calibri"/>
          <w:b w:val="0"/>
          <w:i w:val="0"/>
          <w:color w:val="1E293B"/>
          <w:sz w:val="22"/>
        </w:rPr>
        <w:t>HealthPlus HMS covers the complete operational lifecycle of a hospital through 10 integrated modules:</w:t>
      </w:r>
    </w:p>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Module</w:t>
            </w:r>
          </w:p>
        </w:tc>
        <w:tc>
          <w:tcPr>
            <w:tcW w:type="dxa" w:w="1584"/>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Category</w:t>
            </w:r>
          </w:p>
        </w:tc>
        <w:tc>
          <w:tcPr>
            <w:tcW w:type="dxa" w:w="5184"/>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Key Capabilities</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Public Website &amp; Patient Portal</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Frontend</w:t>
            </w:r>
          </w:p>
        </w:tc>
        <w:tc>
          <w:tcPr>
            <w:tcW w:type="dxa" w:w="51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Hospital landing page, department listing, doctor profiles, online appointment booking, hospital packages and offers</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Appointments &amp; Front Desk</w:t>
            </w:r>
          </w:p>
        </w:tc>
        <w:tc>
          <w:tcPr>
            <w:tcW w:type="dxa" w:w="15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OPD</w:t>
            </w:r>
          </w:p>
        </w:tc>
        <w:tc>
          <w:tcPr>
            <w:tcW w:type="dxa" w:w="51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Schedule management for all doctors, multi-slot booking (morning/evening), patient queue, appointment status tracking</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Admissions (IPD)</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Inpatient</w:t>
            </w:r>
          </w:p>
        </w:tc>
        <w:tc>
          <w:tcPr>
            <w:tcW w:type="dxa" w:w="51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Ward and bed management, real-time bed occupancy, ICU tracking, new admission workflow, patient transfer and discharge</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Doctor Console</w:t>
            </w:r>
          </w:p>
        </w:tc>
        <w:tc>
          <w:tcPr>
            <w:tcW w:type="dxa" w:w="15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Clinical</w:t>
            </w:r>
          </w:p>
        </w:tc>
        <w:tc>
          <w:tcPr>
            <w:tcW w:type="dxa" w:w="51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Doctor's personal dashboard, today's schedule, patient consultation notes, prescription generation, clinical history</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Billing</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Finance</w:t>
            </w:r>
          </w:p>
        </w:tc>
        <w:tc>
          <w:tcPr>
            <w:tcW w:type="dxa" w:w="51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Invoice generation, payment tracking (paid/pending), OPD and IPD billing, printable receipts, billing history with search and filter</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Pharmacy</w:t>
            </w:r>
          </w:p>
        </w:tc>
        <w:tc>
          <w:tcPr>
            <w:tcW w:type="dxa" w:w="15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Pharmacy</w:t>
            </w:r>
          </w:p>
        </w:tc>
        <w:tc>
          <w:tcPr>
            <w:tcW w:type="dxa" w:w="51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Prescription fulfilment, stock management, Point of Sale (POS) for walk-in customers, purchase orders, medicine returns</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Inventory &amp; Equipment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Operations</w:t>
            </w:r>
          </w:p>
        </w:tc>
        <w:tc>
          <w:tcPr>
            <w:tcW w:type="dxa" w:w="51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Medical equipment tracking, AMC contract management, low-stock alerts, vendor management, consumables tracking</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Staff Management</w:t>
            </w:r>
          </w:p>
        </w:tc>
        <w:tc>
          <w:tcPr>
            <w:tcW w:type="dxa" w:w="15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HR</w:t>
            </w:r>
          </w:p>
        </w:tc>
        <w:tc>
          <w:tcPr>
            <w:tcW w:type="dxa" w:w="51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Staff profiles, role-based access control, attendance tracking, department assignments, leave management</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Reports</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Analytics</w:t>
            </w:r>
          </w:p>
        </w:tc>
        <w:tc>
          <w:tcPr>
            <w:tcW w:type="dxa" w:w="51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Operational reports, revenue summaries, patient statistics, appointment reports, pharmacy and inventory reports</w:t>
            </w:r>
          </w:p>
        </w:tc>
      </w:tr>
      <w:tr>
        <w:tc>
          <w:tcPr>
            <w:tcW w:type="dxa" w:w="2592"/>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Admin Panel</w:t>
            </w:r>
          </w:p>
        </w:tc>
        <w:tc>
          <w:tcPr>
            <w:tcW w:type="dxa" w:w="15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Admin</w:t>
            </w:r>
          </w:p>
        </w:tc>
        <w:tc>
          <w:tcPr>
            <w:tcW w:type="dxa" w:w="518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System configuration, department management, user roles and permissions, data administration</w:t>
            </w:r>
          </w:p>
        </w:tc>
      </w:tr>
    </w:tbl>
    <w:p/>
    <w:p>
      <w:pPr>
        <w:spacing w:before="0" w:after="0"/>
      </w:pPr>
      <w:r>
        <w:br w:type="page"/>
      </w:r>
    </w:p>
    <w:p>
      <w:pPr>
        <w:pStyle w:val="Heading1"/>
        <w:spacing w:before="360" w:after="120"/>
      </w:pPr>
      <w:r>
        <w:rPr>
          <w:rFonts w:ascii="Calibri" w:hAnsi="Calibri"/>
          <w:b/>
          <w:color w:val="0D2461"/>
          <w:sz w:val="40"/>
        </w:rPr>
        <w:t>3. Key Benefits for Your Hospital</w:t>
      </w:r>
    </w:p>
    <w:p>
      <w:pPr>
        <w:spacing w:before="80" w:after="160"/>
        <w:pBdr>
          <w:bottom w:val="single" w:sz="8" w:space="1" w:color="028090"/>
        </w:pBdr>
      </w:pPr>
    </w:p>
    <w:p>
      <w:pPr>
        <w:spacing w:before="200" w:after="40"/>
      </w:pPr>
      <w:r>
        <w:rPr>
          <w:rFonts w:ascii="Calibri" w:hAnsi="Calibri"/>
          <w:b/>
          <w:color w:val="028090"/>
          <w:sz w:val="26"/>
        </w:rPr>
        <w:t>Operational Efficiency</w:t>
      </w:r>
    </w:p>
    <w:p>
      <w:pPr>
        <w:pStyle w:val="ListBullet"/>
        <w:spacing w:before="40" w:after="40"/>
        <w:ind w:left="432"/>
      </w:pPr>
      <w:r>
        <w:rPr>
          <w:rFonts w:ascii="Calibri" w:hAnsi="Calibri"/>
          <w:color w:val="1E293B"/>
          <w:sz w:val="22"/>
        </w:rPr>
        <w:t>Eliminate paper registers and manual records</w:t>
      </w:r>
    </w:p>
    <w:p>
      <w:pPr>
        <w:pStyle w:val="ListBullet"/>
        <w:spacing w:before="40" w:after="40"/>
        <w:ind w:left="432"/>
      </w:pPr>
      <w:r>
        <w:rPr>
          <w:rFonts w:ascii="Calibri" w:hAnsi="Calibri"/>
          <w:color w:val="1E293B"/>
          <w:sz w:val="22"/>
        </w:rPr>
        <w:t>Real-time bed and ward availability</w:t>
      </w:r>
    </w:p>
    <w:p>
      <w:pPr>
        <w:pStyle w:val="ListBullet"/>
        <w:spacing w:before="40" w:after="40"/>
        <w:ind w:left="432"/>
      </w:pPr>
      <w:r>
        <w:rPr>
          <w:rFonts w:ascii="Calibri" w:hAnsi="Calibri"/>
          <w:color w:val="1E293B"/>
          <w:sz w:val="22"/>
        </w:rPr>
        <w:t>Faster patient flow from entry to discharge</w:t>
      </w:r>
    </w:p>
    <w:p>
      <w:pPr>
        <w:pStyle w:val="ListBullet"/>
        <w:spacing w:before="40" w:after="40"/>
        <w:ind w:left="432"/>
      </w:pPr>
      <w:r>
        <w:rPr>
          <w:rFonts w:ascii="Calibri" w:hAnsi="Calibri"/>
          <w:color w:val="1E293B"/>
          <w:sz w:val="22"/>
        </w:rPr>
        <w:t>Automated prescription-to-pharmacy workflow</w:t>
      </w:r>
    </w:p>
    <w:p>
      <w:pPr>
        <w:spacing w:before="200" w:after="40"/>
      </w:pPr>
      <w:r>
        <w:rPr>
          <w:rFonts w:ascii="Calibri" w:hAnsi="Calibri"/>
          <w:b/>
          <w:color w:val="028090"/>
          <w:sz w:val="26"/>
        </w:rPr>
        <w:t>Financial Control</w:t>
      </w:r>
    </w:p>
    <w:p>
      <w:pPr>
        <w:pStyle w:val="ListBullet"/>
        <w:spacing w:before="40" w:after="40"/>
        <w:ind w:left="432"/>
      </w:pPr>
      <w:r>
        <w:rPr>
          <w:rFonts w:ascii="Calibri" w:hAnsi="Calibri"/>
          <w:color w:val="1E293B"/>
          <w:sz w:val="22"/>
        </w:rPr>
        <w:t>Track every rupee — paid vs. pending</w:t>
      </w:r>
    </w:p>
    <w:p>
      <w:pPr>
        <w:pStyle w:val="ListBullet"/>
        <w:spacing w:before="40" w:after="40"/>
        <w:ind w:left="432"/>
      </w:pPr>
      <w:r>
        <w:rPr>
          <w:rFonts w:ascii="Calibri" w:hAnsi="Calibri"/>
          <w:color w:val="1E293B"/>
          <w:sz w:val="22"/>
        </w:rPr>
        <w:t>Pharmacy POS with live stock deduction</w:t>
      </w:r>
    </w:p>
    <w:p>
      <w:pPr>
        <w:pStyle w:val="ListBullet"/>
        <w:spacing w:before="40" w:after="40"/>
        <w:ind w:left="432"/>
      </w:pPr>
      <w:r>
        <w:rPr>
          <w:rFonts w:ascii="Calibri" w:hAnsi="Calibri"/>
          <w:color w:val="1E293B"/>
          <w:sz w:val="22"/>
        </w:rPr>
        <w:t>Purchase order and vendor management</w:t>
      </w:r>
    </w:p>
    <w:p>
      <w:pPr>
        <w:pStyle w:val="ListBullet"/>
        <w:spacing w:before="40" w:after="40"/>
        <w:ind w:left="432"/>
      </w:pPr>
      <w:r>
        <w:rPr>
          <w:rFonts w:ascii="Calibri" w:hAnsi="Calibri"/>
          <w:color w:val="1E293B"/>
          <w:sz w:val="22"/>
        </w:rPr>
        <w:t>Revenue and billing reports at a glance</w:t>
      </w:r>
    </w:p>
    <w:p>
      <w:pPr>
        <w:spacing w:before="200" w:after="40"/>
      </w:pPr>
      <w:r>
        <w:rPr>
          <w:rFonts w:ascii="Calibri" w:hAnsi="Calibri"/>
          <w:b/>
          <w:color w:val="028090"/>
          <w:sz w:val="26"/>
        </w:rPr>
        <w:t>Patient Experience</w:t>
      </w:r>
    </w:p>
    <w:p>
      <w:pPr>
        <w:pStyle w:val="ListBullet"/>
        <w:spacing w:before="40" w:after="40"/>
        <w:ind w:left="432"/>
      </w:pPr>
      <w:r>
        <w:rPr>
          <w:rFonts w:ascii="Calibri" w:hAnsi="Calibri"/>
          <w:color w:val="1E293B"/>
          <w:sz w:val="22"/>
        </w:rPr>
        <w:t>Online appointment booking 24/7</w:t>
      </w:r>
    </w:p>
    <w:p>
      <w:pPr>
        <w:pStyle w:val="ListBullet"/>
        <w:spacing w:before="40" w:after="40"/>
        <w:ind w:left="432"/>
      </w:pPr>
      <w:r>
        <w:rPr>
          <w:rFonts w:ascii="Calibri" w:hAnsi="Calibri"/>
          <w:color w:val="1E293B"/>
          <w:sz w:val="22"/>
        </w:rPr>
        <w:t>Reduced waiting time at reception</w:t>
      </w:r>
    </w:p>
    <w:p>
      <w:pPr>
        <w:pStyle w:val="ListBullet"/>
        <w:spacing w:before="40" w:after="40"/>
        <w:ind w:left="432"/>
      </w:pPr>
      <w:r>
        <w:rPr>
          <w:rFonts w:ascii="Calibri" w:hAnsi="Calibri"/>
          <w:color w:val="1E293B"/>
          <w:sz w:val="22"/>
        </w:rPr>
        <w:t>Digital prescriptions and receipts</w:t>
      </w:r>
    </w:p>
    <w:p>
      <w:pPr>
        <w:pStyle w:val="ListBullet"/>
        <w:spacing w:before="40" w:after="40"/>
        <w:ind w:left="432"/>
      </w:pPr>
      <w:r>
        <w:rPr>
          <w:rFonts w:ascii="Calibri" w:hAnsi="Calibri"/>
          <w:color w:val="1E293B"/>
          <w:sz w:val="22"/>
        </w:rPr>
        <w:t>Complete patient history in one place</w:t>
      </w:r>
    </w:p>
    <w:p>
      <w:pPr>
        <w:spacing w:before="200" w:after="40"/>
      </w:pPr>
      <w:r>
        <w:rPr>
          <w:rFonts w:ascii="Calibri" w:hAnsi="Calibri"/>
          <w:b/>
          <w:color w:val="028090"/>
          <w:sz w:val="26"/>
        </w:rPr>
        <w:t>Compliance and Safety</w:t>
      </w:r>
    </w:p>
    <w:p>
      <w:pPr>
        <w:pStyle w:val="ListBullet"/>
        <w:spacing w:before="40" w:after="40"/>
        <w:ind w:left="432"/>
      </w:pPr>
      <w:r>
        <w:rPr>
          <w:rFonts w:ascii="Calibri" w:hAnsi="Calibri"/>
          <w:color w:val="1E293B"/>
          <w:sz w:val="22"/>
        </w:rPr>
        <w:t>Role-based access — right information, right staff</w:t>
      </w:r>
    </w:p>
    <w:p>
      <w:pPr>
        <w:pStyle w:val="ListBullet"/>
        <w:spacing w:before="40" w:after="40"/>
        <w:ind w:left="432"/>
      </w:pPr>
      <w:r>
        <w:rPr>
          <w:rFonts w:ascii="Calibri" w:hAnsi="Calibri"/>
          <w:color w:val="1E293B"/>
          <w:sz w:val="22"/>
        </w:rPr>
        <w:t>Medicine expiry and low-stock alerts</w:t>
      </w:r>
    </w:p>
    <w:p>
      <w:pPr>
        <w:pStyle w:val="ListBullet"/>
        <w:spacing w:before="40" w:after="40"/>
        <w:ind w:left="432"/>
      </w:pPr>
      <w:r>
        <w:rPr>
          <w:rFonts w:ascii="Calibri" w:hAnsi="Calibri"/>
          <w:color w:val="1E293B"/>
          <w:sz w:val="22"/>
        </w:rPr>
        <w:t>AMC contract renewal reminders</w:t>
      </w:r>
    </w:p>
    <w:p>
      <w:pPr>
        <w:pStyle w:val="ListBullet"/>
        <w:spacing w:before="40" w:after="40"/>
        <w:ind w:left="432"/>
      </w:pPr>
      <w:r>
        <w:rPr>
          <w:rFonts w:ascii="Calibri" w:hAnsi="Calibri"/>
          <w:color w:val="1E293B"/>
          <w:sz w:val="22"/>
        </w:rPr>
        <w:t>Audit trail for all transactions</w:t>
      </w:r>
    </w:p>
    <w:p/>
    <w:p>
      <w:pPr>
        <w:spacing w:before="0" w:after="0"/>
      </w:pPr>
      <w:r>
        <w:br w:type="page"/>
      </w:r>
    </w:p>
    <w:p>
      <w:pPr>
        <w:pStyle w:val="Heading1"/>
        <w:spacing w:before="360" w:after="120"/>
      </w:pPr>
      <w:r>
        <w:rPr>
          <w:rFonts w:ascii="Calibri" w:hAnsi="Calibri"/>
          <w:b/>
          <w:color w:val="0D2461"/>
          <w:sz w:val="40"/>
        </w:rPr>
        <w:t>4. Pricing Plans</w:t>
      </w:r>
    </w:p>
    <w:p>
      <w:pPr>
        <w:spacing w:before="80" w:after="160"/>
        <w:pBdr>
          <w:bottom w:val="single" w:sz="8" w:space="1" w:color="028090"/>
        </w:pBdr>
      </w:pPr>
    </w:p>
    <w:p>
      <w:pPr>
        <w:spacing w:before="60" w:after="160"/>
        <w:jc w:val="left"/>
      </w:pPr>
      <w:r>
        <w:rPr>
          <w:rFonts w:ascii="Calibri" w:hAnsi="Calibri"/>
          <w:b w:val="0"/>
          <w:i w:val="0"/>
          <w:color w:val="1E293B"/>
          <w:sz w:val="22"/>
        </w:rPr>
        <w:t>All pricing is designed for hospitals with up to 50 beds in Tamil Nadu. Each plan includes full setup, data migration support, staff training, and local support.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Feature / Component</w:t>
            </w:r>
          </w:p>
        </w:tc>
        <w:tc>
          <w:tcPr>
            <w:tcW w:type="dxa" w:w="2016"/>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Starter</w:t>
            </w:r>
          </w:p>
        </w:tc>
        <w:tc>
          <w:tcPr>
            <w:tcW w:type="dxa" w:w="2016"/>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Professional</w:t>
            </w:r>
          </w:p>
        </w:tc>
        <w:tc>
          <w:tcPr>
            <w:tcW w:type="dxa" w:w="2160"/>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Enterprise</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One-Time Setup Fee</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C7293"/>
                <w:sz w:val="21"/>
              </w:rPr>
              <w:t>Rs. 65,000</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028090"/>
                <w:sz w:val="21"/>
              </w:rPr>
              <w:t>Rs. 1,25,000</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0D2461"/>
                <w:sz w:val="21"/>
              </w:rPr>
              <w:t>Rs. 2,00,000</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Annual Maintenance (AMC)</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Rs. 48,000/yr</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Rs. 72,000/yr</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Rs. 1,08,000/yr</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1E293B"/>
                <w:sz w:val="21"/>
              </w:rPr>
              <w:t>Monthly Equivalent</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028090"/>
                <w:sz w:val="21"/>
              </w:rPr>
              <w:t>Rs. 4,000/mo</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028090"/>
                <w:sz w:val="21"/>
              </w:rPr>
              <w:t>Rs. 6,000/mo</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028090"/>
                <w:sz w:val="21"/>
              </w:rPr>
              <w:t>Rs. 9,000/mo</w:t>
            </w:r>
          </w:p>
        </w:tc>
      </w:tr>
      <w:tr>
        <w:tc>
          <w:tcPr>
            <w:tcW w:type="dxa" w:w="3168"/>
            <w:shd w:val="clear" w:color="auto" w:fill="F8FFFE"/>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Patient Portal</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Appointments / OPD</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F8FFFE"/>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Doctor Console</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Billing</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F8FFFE"/>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Admissions / IPD</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64748B"/>
                <w:sz w:val="21"/>
              </w:rPr>
              <w:t>—</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Pharmacy + POS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64748B"/>
                <w:sz w:val="21"/>
              </w:rPr>
              <w:t>—</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F8FFFE"/>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Inventory &amp; Equipment</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64748B"/>
                <w:sz w:val="21"/>
              </w:rPr>
              <w:t>—</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Staff Management</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64748B"/>
                <w:sz w:val="21"/>
              </w:rPr>
              <w:t>—</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i w:val="0"/>
                <w:color w:val="1A6B3C"/>
                <w:sz w:val="21"/>
              </w:rPr>
              <w:t>Yes</w:t>
            </w:r>
          </w:p>
        </w:tc>
      </w:tr>
      <w:tr>
        <w:tc>
          <w:tcPr>
            <w:tcW w:type="dxa" w:w="3168"/>
            <w:shd w:val="clear" w:color="auto" w:fill="F8FFFE"/>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Reports and Analytics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Basic</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Advanced</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Full Custom</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Support Response</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48 hrs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24 hrs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4 hrs</w:t>
            </w:r>
          </w:p>
        </w:tc>
      </w:tr>
      <w:tr>
        <w:tc>
          <w:tcPr>
            <w:tcW w:type="dxa" w:w="3168"/>
            <w:shd w:val="clear" w:color="auto" w:fill="F8FFFE"/>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Data Backup</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Weekly</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Daily</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Daily + Cloud</w:t>
            </w:r>
          </w:p>
        </w:tc>
      </w:tr>
      <w:tr>
        <w:tc>
          <w:tcPr>
            <w:tcW w:type="dxa" w:w="3168"/>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Training Days</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1 Day</w:t>
            </w:r>
          </w:p>
        </w:tc>
        <w:tc>
          <w:tcPr>
            <w:tcW w:type="dxa" w:w="2016"/>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2 Days</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center"/>
            </w:pPr>
            <w:r/>
            <w:r>
              <w:rPr>
                <w:rFonts w:ascii="Calibri" w:hAnsi="Calibri"/>
                <w:b w:val="0"/>
                <w:i w:val="0"/>
                <w:color w:val="1E293B"/>
                <w:sz w:val="21"/>
              </w:rPr>
              <w:t>3 Days + Refresher</w:t>
            </w:r>
          </w:p>
        </w:tc>
      </w:tr>
    </w:tbl>
    <w:p/>
    <w:p>
      <w:pPr>
        <w:spacing w:before="120" w:after="120"/>
      </w:pPr>
      <w:r>
        <w:rPr>
          <w:rFonts w:ascii="Calibri" w:hAnsi="Calibri"/>
          <w:b/>
          <w:color w:val="7A5000"/>
          <w:sz w:val="22"/>
        </w:rPr>
        <w:t xml:space="preserve">Special Offer: </w:t>
      </w:r>
      <w:r>
        <w:rPr>
          <w:rFonts w:ascii="Calibri" w:hAnsi="Calibri"/>
          <w:color w:val="1E293B"/>
          <w:sz w:val="22"/>
        </w:rPr>
        <w:t>Sign before June 2026 and get 2 months AMC FREE on Professional and Enterprise plans. All prices are exclusive of GST at 18%.</w:t>
      </w:r>
    </w:p>
    <w:p>
      <w:pPr>
        <w:spacing w:before="0" w:after="0"/>
      </w:pPr>
      <w:r>
        <w:br w:type="page"/>
      </w:r>
    </w:p>
    <w:p>
      <w:pPr>
        <w:pStyle w:val="Heading1"/>
        <w:spacing w:before="360" w:after="120"/>
      </w:pPr>
      <w:r>
        <w:rPr>
          <w:rFonts w:ascii="Calibri" w:hAnsi="Calibri"/>
          <w:b/>
          <w:color w:val="0D2461"/>
          <w:sz w:val="40"/>
        </w:rPr>
        <w:t>5. Implementation Timeline</w:t>
      </w:r>
    </w:p>
    <w:p>
      <w:pPr>
        <w:spacing w:before="80" w:after="160"/>
        <w:pBdr>
          <w:bottom w:val="single" w:sz="8" w:space="1" w:color="028090"/>
        </w:pBdr>
      </w:pPr>
    </w:p>
    <w:p>
      <w:pPr>
        <w:spacing w:before="60" w:after="160"/>
        <w:jc w:val="left"/>
      </w:pPr>
      <w:r>
        <w:rPr>
          <w:rFonts w:ascii="Calibri" w:hAnsi="Calibri"/>
          <w:b w:val="0"/>
          <w:i w:val="0"/>
          <w:color w:val="1E293B"/>
          <w:sz w:val="22"/>
        </w:rPr>
        <w:t>Our structured 10-week onboarding process ensures a smooth, disruption-free transition to digital operations.</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Week</w:t>
            </w:r>
          </w:p>
        </w:tc>
        <w:tc>
          <w:tcPr>
            <w:tcW w:type="dxa" w:w="2304"/>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Phase</w:t>
            </w:r>
          </w:p>
        </w:tc>
        <w:tc>
          <w:tcPr>
            <w:tcW w:type="dxa" w:w="5760"/>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Activities</w:t>
            </w:r>
          </w:p>
        </w:tc>
      </w:tr>
      <w:tr>
        <w:tc>
          <w:tcPr>
            <w:tcW w:type="dxa" w:w="1296"/>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Week 1</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Discovery</w:t>
            </w:r>
          </w:p>
        </w:tc>
        <w:tc>
          <w:tcPr>
            <w:tcW w:type="dxa" w:w="57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Requirements gathering, server setup, database configuration, domain configuration</w:t>
            </w:r>
          </w:p>
        </w:tc>
      </w:tr>
      <w:tr>
        <w:tc>
          <w:tcPr>
            <w:tcW w:type="dxa" w:w="1296"/>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Week 2</w:t>
            </w:r>
          </w:p>
        </w:tc>
        <w:tc>
          <w:tcPr>
            <w:tcW w:type="dxa" w:w="230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Installation</w:t>
            </w:r>
          </w:p>
        </w:tc>
        <w:tc>
          <w:tcPr>
            <w:tcW w:type="dxa" w:w="5760"/>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System installation, patient portal setup, admin panel configuration, department setup</w:t>
            </w:r>
          </w:p>
        </w:tc>
      </w:tr>
      <w:tr>
        <w:tc>
          <w:tcPr>
            <w:tcW w:type="dxa" w:w="1296"/>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Week 3</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Modules</w:t>
            </w:r>
          </w:p>
        </w:tc>
        <w:tc>
          <w:tcPr>
            <w:tcW w:type="dxa" w:w="57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Appointments, billing, pharmacy, inventory, and IPD modules activation and configuration</w:t>
            </w:r>
          </w:p>
        </w:tc>
      </w:tr>
      <w:tr>
        <w:tc>
          <w:tcPr>
            <w:tcW w:type="dxa" w:w="1296"/>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Week 4</w:t>
            </w:r>
          </w:p>
        </w:tc>
        <w:tc>
          <w:tcPr>
            <w:tcW w:type="dxa" w:w="230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Data Migration</w:t>
            </w:r>
          </w:p>
        </w:tc>
        <w:tc>
          <w:tcPr>
            <w:tcW w:type="dxa" w:w="5760"/>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Doctor profiles, staff data, existing patient records, medicine inventory loading</w:t>
            </w:r>
          </w:p>
        </w:tc>
      </w:tr>
      <w:tr>
        <w:tc>
          <w:tcPr>
            <w:tcW w:type="dxa" w:w="1296"/>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Week 5-6</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Training</w:t>
            </w:r>
          </w:p>
        </w:tc>
        <w:tc>
          <w:tcPr>
            <w:tcW w:type="dxa" w:w="57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Role-based training for reception, pharmacy, billing, doctors, and administrators</w:t>
            </w:r>
          </w:p>
        </w:tc>
      </w:tr>
      <w:tr>
        <w:tc>
          <w:tcPr>
            <w:tcW w:type="dxa" w:w="1296"/>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Week 7-8</w:t>
            </w:r>
          </w:p>
        </w:tc>
        <w:tc>
          <w:tcPr>
            <w:tcW w:type="dxa" w:w="2304"/>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Parallel Run</w:t>
            </w:r>
          </w:p>
        </w:tc>
        <w:tc>
          <w:tcPr>
            <w:tcW w:type="dxa" w:w="5760"/>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Run old and new systems in parallel. User acceptance testing. Feedback and fixes.</w:t>
            </w:r>
          </w:p>
        </w:tc>
      </w:tr>
      <w:tr>
        <w:tc>
          <w:tcPr>
            <w:tcW w:type="dxa" w:w="1296"/>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Week 9-10</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Go Live</w:t>
            </w:r>
          </w:p>
        </w:tc>
        <w:tc>
          <w:tcPr>
            <w:tcW w:type="dxa" w:w="5760"/>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Full go-live, daily check-ins for 2 weeks, performance monitoring, issue resolution</w:t>
            </w:r>
          </w:p>
        </w:tc>
      </w:tr>
    </w:tbl>
    <w:p/>
    <w:p>
      <w:pPr>
        <w:spacing w:before="0" w:after="0"/>
      </w:pPr>
      <w:r>
        <w:br w:type="page"/>
      </w:r>
    </w:p>
    <w:p>
      <w:pPr>
        <w:pStyle w:val="Heading1"/>
        <w:spacing w:before="360" w:after="120"/>
      </w:pPr>
      <w:r>
        <w:rPr>
          <w:rFonts w:ascii="Calibri" w:hAnsi="Calibri"/>
          <w:b/>
          <w:color w:val="0D2461"/>
          <w:sz w:val="40"/>
        </w:rPr>
        <w:t>6. Technical Overview</w:t>
      </w:r>
    </w:p>
    <w:p>
      <w:pPr>
        <w:spacing w:before="80" w:after="160"/>
        <w:pBdr>
          <w:bottom w:val="single" w:sz="8" w:space="1" w:color="028090"/>
        </w:pBdr>
      </w:pPr>
    </w:p>
    <w:p>
      <w:pPr>
        <w:spacing w:before="60" w:after="160"/>
        <w:jc w:val="left"/>
      </w:pPr>
      <w:r>
        <w:rPr>
          <w:rFonts w:ascii="Calibri" w:hAnsi="Calibri"/>
          <w:b w:val="0"/>
          <w:i w:val="0"/>
          <w:color w:val="1E293B"/>
          <w:sz w:val="22"/>
        </w:rPr>
        <w:t>HealthPlus HMS is built on modern, proven technologies ensuring reliability, security, and future scalability.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Component</w:t>
            </w:r>
          </w:p>
        </w:tc>
        <w:tc>
          <w:tcPr>
            <w:tcW w:type="dxa" w:w="2592"/>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Technology</w:t>
            </w:r>
          </w:p>
        </w:tc>
        <w:tc>
          <w:tcPr>
            <w:tcW w:type="dxa" w:w="4608"/>
            <w:shd w:val="clear" w:color="auto" w:fill="0D2461"/>
            <w:tcBorders>
              <w:top w:val="single" w:sz="4" w:space="0" w:color="888888"/>
              <w:bottom w:val="single" w:sz="4" w:space="0" w:color="888888"/>
              <w:left w:val="single" w:sz="4" w:space="0" w:color="888888"/>
              <w:right w:val="single" w:sz="4" w:space="0" w:color="888888"/>
            </w:tcBorders>
          </w:tcPr>
          <w:p>
            <w:pPr>
              <w:spacing w:before="60" w:after="60"/>
              <w:jc w:val="center"/>
            </w:pPr>
            <w:r/>
            <w:r>
              <w:rPr>
                <w:rFonts w:ascii="Calibri" w:hAnsi="Calibri"/>
                <w:b/>
                <w:i w:val="0"/>
                <w:color w:val="FFFFFF"/>
                <w:sz w:val="22"/>
              </w:rPr>
              <w:t>Details</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Backend Framework</w:t>
            </w:r>
          </w:p>
        </w:tc>
        <w:tc>
          <w:tcPr>
            <w:tcW w:type="dxa" w:w="2592"/>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Python / Django 5.2</w:t>
            </w:r>
          </w:p>
        </w:tc>
        <w:tc>
          <w:tcPr>
            <w:tcW w:type="dxa" w:w="4608"/>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Proven, secure, enterprise-grade web framework</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Frontend</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HTMX + JavaScript</w:t>
            </w:r>
          </w:p>
        </w:tc>
        <w:tc>
          <w:tcPr>
            <w:tcW w:type="dxa" w:w="4608"/>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Fast, interactive pages without heavy client-side complexity</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Database</w:t>
            </w:r>
          </w:p>
        </w:tc>
        <w:tc>
          <w:tcPr>
            <w:tcW w:type="dxa" w:w="2592"/>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PostgreSQL</w:t>
            </w:r>
          </w:p>
        </w:tc>
        <w:tc>
          <w:tcPr>
            <w:tcW w:type="dxa" w:w="4608"/>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Robust relational database, ACID compliant, ideal for medical records</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Hosting</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AWS EC2 / On-Premise</w:t>
            </w:r>
          </w:p>
        </w:tc>
        <w:tc>
          <w:tcPr>
            <w:tcW w:type="dxa" w:w="4608"/>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Flexible cloud or local server deployment options</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Security</w:t>
            </w:r>
          </w:p>
        </w:tc>
        <w:tc>
          <w:tcPr>
            <w:tcW w:type="dxa" w:w="2592"/>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RBAC + HTTPS + Audit</w:t>
            </w:r>
          </w:p>
        </w:tc>
        <w:tc>
          <w:tcPr>
            <w:tcW w:type="dxa" w:w="4608"/>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Role-based access, encrypted traffic, session management, audit logs</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Access</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Browser-Based</w:t>
            </w:r>
          </w:p>
        </w:tc>
        <w:tc>
          <w:tcPr>
            <w:tcW w:type="dxa" w:w="4608"/>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Works on any device (desktop, laptop, tablet). No software installation needed.</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Backup</w:t>
            </w:r>
          </w:p>
        </w:tc>
        <w:tc>
          <w:tcPr>
            <w:tcW w:type="dxa" w:w="2592"/>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Automated Daily/Weekly</w:t>
            </w:r>
          </w:p>
        </w:tc>
        <w:tc>
          <w:tcPr>
            <w:tcW w:type="dxa" w:w="4608"/>
            <w:shd w:val="clear" w:color="auto" w:fill="F0FA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Enterprise plan includes cloud backup redundancy</w:t>
            </w:r>
          </w:p>
        </w:tc>
      </w:tr>
      <w:tr>
        <w:tc>
          <w:tcPr>
            <w:tcW w:type="dxa" w:w="2160"/>
            <w:shd w:val="clear" w:color="auto" w:fill="EBF8FA"/>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28090"/>
                <w:sz w:val="21"/>
              </w:rPr>
              <w:t>CI/CD</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i w:val="0"/>
                <w:color w:val="0D2461"/>
                <w:sz w:val="21"/>
              </w:rPr>
              <w:t>GitHub Actions</w:t>
            </w:r>
          </w:p>
        </w:tc>
        <w:tc>
          <w:tcPr>
            <w:tcW w:type="dxa" w:w="4608"/>
            <w:shd w:val="clear" w:color="auto" w:fill="FFFFFF"/>
            <w:tcBorders>
              <w:top w:val="single" w:sz="4" w:space="0" w:color="CCCCCC"/>
              <w:bottom w:val="single" w:sz="4" w:space="0" w:color="CCCCCC"/>
              <w:left w:val="single" w:sz="4" w:space="0" w:color="CCCCCC"/>
              <w:right w:val="single" w:sz="4" w:space="0" w:color="CCCCCC"/>
            </w:tcBorders>
          </w:tcPr>
          <w:p>
            <w:pPr>
              <w:spacing w:before="60" w:after="60"/>
              <w:jc w:val="left"/>
            </w:pPr>
            <w:r/>
            <w:r>
              <w:rPr>
                <w:rFonts w:ascii="Calibri" w:hAnsi="Calibri"/>
                <w:b w:val="0"/>
                <w:i w:val="0"/>
                <w:color w:val="1E293B"/>
                <w:sz w:val="21"/>
              </w:rPr>
              <w:t>Automated testing and deployment pipeline</w:t>
            </w:r>
          </w:p>
        </w:tc>
      </w:tr>
    </w:tbl>
    <w:p/>
    <w:p>
      <w:pPr>
        <w:spacing w:before="0" w:after="0"/>
      </w:pPr>
      <w:r>
        <w:br w:type="page"/>
      </w:r>
    </w:p>
    <w:p>
      <w:pPr>
        <w:pStyle w:val="Heading1"/>
        <w:spacing w:before="360" w:after="120"/>
      </w:pPr>
      <w:r>
        <w:rPr>
          <w:rFonts w:ascii="Calibri" w:hAnsi="Calibri"/>
          <w:b/>
          <w:color w:val="0D2461"/>
          <w:sz w:val="40"/>
        </w:rPr>
        <w:t>7. Terms and Conditions</w:t>
      </w:r>
    </w:p>
    <w:p>
      <w:pPr>
        <w:spacing w:before="80" w:after="160"/>
        <w:pBdr>
          <w:bottom w:val="single" w:sz="8" w:space="1" w:color="028090"/>
        </w:pBdr>
      </w:pPr>
    </w:p>
    <w:p>
      <w:pPr>
        <w:pStyle w:val="ListBullet"/>
        <w:spacing w:before="40" w:after="40"/>
        <w:ind w:left="432"/>
      </w:pPr>
      <w:r>
        <w:rPr>
          <w:rFonts w:ascii="Calibri" w:hAnsi="Calibri"/>
          <w:color w:val="1E293B"/>
          <w:sz w:val="22"/>
        </w:rPr>
        <w:t>Setup fee: 50% on contract signing, 50% on go-live.</w:t>
      </w:r>
    </w:p>
    <w:p>
      <w:pPr>
        <w:pStyle w:val="ListBullet"/>
        <w:spacing w:before="40" w:after="40"/>
        <w:ind w:left="432"/>
      </w:pPr>
      <w:r>
        <w:rPr>
          <w:rFonts w:ascii="Calibri" w:hAnsi="Calibri"/>
          <w:color w:val="1E293B"/>
          <w:sz w:val="22"/>
        </w:rPr>
        <w:t>GST at 18% applicable on all amounts quoted.</w:t>
      </w:r>
    </w:p>
    <w:p>
      <w:pPr>
        <w:pStyle w:val="ListBullet"/>
        <w:spacing w:before="40" w:after="40"/>
        <w:ind w:left="432"/>
      </w:pPr>
      <w:r>
        <w:rPr>
          <w:rFonts w:ascii="Calibri" w:hAnsi="Calibri"/>
          <w:color w:val="1E293B"/>
          <w:sz w:val="22"/>
        </w:rPr>
        <w:t>Annual Maintenance Contract (AMC) covers bug fixes, minor updates, and support as per plan tier.</w:t>
      </w:r>
    </w:p>
    <w:p>
      <w:pPr>
        <w:pStyle w:val="ListBullet"/>
        <w:spacing w:before="40" w:after="40"/>
        <w:ind w:left="432"/>
      </w:pPr>
      <w:r>
        <w:rPr>
          <w:rFonts w:ascii="Calibri" w:hAnsi="Calibri"/>
          <w:color w:val="1E293B"/>
          <w:sz w:val="22"/>
        </w:rPr>
        <w:t>AMC billed annually in advance. Renewal required to continue support.</w:t>
      </w:r>
    </w:p>
    <w:p>
      <w:pPr>
        <w:pStyle w:val="ListBullet"/>
        <w:spacing w:before="40" w:after="40"/>
        <w:ind w:left="432"/>
      </w:pPr>
      <w:r>
        <w:rPr>
          <w:rFonts w:ascii="Calibri" w:hAnsi="Calibri"/>
          <w:color w:val="1E293B"/>
          <w:sz w:val="22"/>
        </w:rPr>
        <w:t>Source code remains developer property; client receives a perpetual usage license.</w:t>
      </w:r>
    </w:p>
    <w:p>
      <w:pPr>
        <w:pStyle w:val="ListBullet"/>
        <w:spacing w:before="40" w:after="40"/>
        <w:ind w:left="432"/>
      </w:pPr>
      <w:r>
        <w:rPr>
          <w:rFonts w:ascii="Calibri" w:hAnsi="Calibri"/>
          <w:color w:val="1E293B"/>
          <w:sz w:val="22"/>
        </w:rPr>
        <w:t>Customisations beyond the defined scope will be quoted separately at agreed rates.</w:t>
      </w:r>
    </w:p>
    <w:p>
      <w:pPr>
        <w:pStyle w:val="ListBullet"/>
        <w:spacing w:before="40" w:after="40"/>
        <w:ind w:left="432"/>
      </w:pPr>
      <w:r>
        <w:rPr>
          <w:rFonts w:ascii="Calibri" w:hAnsi="Calibri"/>
          <w:color w:val="1E293B"/>
          <w:sz w:val="22"/>
        </w:rPr>
        <w:t>Server / hosting costs (if cloud-based) are pass-through at actuals, borne by the client.</w:t>
      </w:r>
    </w:p>
    <w:p>
      <w:pPr>
        <w:pStyle w:val="ListBullet"/>
        <w:spacing w:before="40" w:after="40"/>
        <w:ind w:left="432"/>
      </w:pPr>
      <w:r>
        <w:rPr>
          <w:rFonts w:ascii="Calibri" w:hAnsi="Calibri"/>
          <w:color w:val="1E293B"/>
          <w:sz w:val="22"/>
        </w:rPr>
        <w:t>This proposal is valid for 60 days from the date of issue.</w:t>
      </w:r>
    </w:p>
    <w:p>
      <w:pPr>
        <w:pStyle w:val="ListBullet"/>
        <w:spacing w:before="40" w:after="40"/>
        <w:ind w:left="432"/>
      </w:pPr>
      <w:r>
        <w:rPr>
          <w:rFonts w:ascii="Calibri" w:hAnsi="Calibri"/>
          <w:color w:val="1E293B"/>
          <w:sz w:val="22"/>
        </w:rPr>
        <w:t>All support is provided in Tamil and English.</w:t>
      </w:r>
    </w:p>
    <w:p/>
    <w:p>
      <w:pPr>
        <w:pStyle w:val="Heading1"/>
        <w:spacing w:before="360" w:after="120"/>
      </w:pPr>
      <w:r>
        <w:rPr>
          <w:rFonts w:ascii="Calibri" w:hAnsi="Calibri"/>
          <w:b/>
          <w:color w:val="0D2461"/>
          <w:sz w:val="40"/>
        </w:rPr>
        <w:t>8. Next Steps</w:t>
      </w:r>
    </w:p>
    <w:p>
      <w:pPr>
        <w:spacing w:before="80" w:after="160"/>
        <w:pBdr>
          <w:bottom w:val="single" w:sz="8" w:space="1" w:color="028090"/>
        </w:pBdr>
      </w:pPr>
    </w:p>
    <w:p>
      <w:pPr>
        <w:spacing w:before="60" w:after="200"/>
        <w:jc w:val="left"/>
      </w:pPr>
      <w:r>
        <w:rPr>
          <w:rFonts w:ascii="Calibri" w:hAnsi="Calibri"/>
          <w:b w:val="0"/>
          <w:i w:val="0"/>
          <w:color w:val="1E293B"/>
          <w:sz w:val="22"/>
        </w:rPr>
        <w:t>We would love to give you a live demonstration of HealthPlus HMS, tailored to your hospital's workflow. Please reach out to schedule a free demo or discuss customisation requirements.</w:t>
      </w:r>
    </w:p>
    <w:tbl>
      <w:tblPr>
        <w:tblW w:type="auto" w:w="0"/>
        <w:jc w:val="center"/>
        <w:tblLook w:firstColumn="1" w:firstRow="1" w:lastColumn="0" w:lastRow="0" w:noHBand="0" w:noVBand="1" w:val="04A0"/>
      </w:tblPr>
      <w:tblGrid>
        <w:gridCol w:w="9360"/>
      </w:tblGrid>
      <w:tr>
        <w:tc>
          <w:tcPr>
            <w:tcW w:type="dxa" w:w="9360"/>
            <w:shd w:val="clear" w:color="auto" w:fill="0D2461"/>
            <w:tcMar>
              <w:top w:w="360" w:type="dxa"/>
              <w:bottom w:w="360" w:type="dxa"/>
              <w:left w:w="360" w:type="dxa"/>
              <w:right w:w="360" w:type="dxa"/>
            </w:tcMar>
          </w:tcPr>
          <w:p>
            <w:r/>
          </w:p>
          <w:p>
            <w:pPr>
              <w:jc w:val="center"/>
            </w:pPr>
            <w:r>
              <w:rPr>
                <w:rFonts w:ascii="Calibri" w:hAnsi="Calibri"/>
                <w:b/>
                <w:color w:val="FFFFFF"/>
                <w:sz w:val="36"/>
              </w:rPr>
              <w:t>Request a Free Demo</w:t>
            </w:r>
          </w:p>
          <w:p>
            <w:pPr>
              <w:jc w:val="center"/>
            </w:pPr>
            <w:r>
              <w:rPr>
                <w:rFonts w:ascii="Calibri" w:hAnsi="Calibri"/>
                <w:b w:val="0"/>
                <w:color w:val="B0D4DA"/>
                <w:sz w:val="24"/>
              </w:rPr>
              <w:t>Book a personalised walkthrough — online or at your hospital</w:t>
            </w:r>
          </w:p>
          <w:p>
            <w:pPr>
              <w:jc w:val="center"/>
            </w:pPr>
            <w:r>
              <w:rPr>
                <w:rFonts w:ascii="Calibri" w:hAnsi="Calibri"/>
                <w:b/>
                <w:color w:val="F59E0B"/>
                <w:sz w:val="24"/>
              </w:rPr>
              <w:t>Email: [your-email@domain.com]   |   Phone: [+91 XXXXX XXXXX]</w:t>
            </w:r>
          </w:p>
          <w:p>
            <w:pPr>
              <w:jc w:val="center"/>
            </w:pPr>
            <w:r>
              <w:rPr>
                <w:rFonts w:ascii="Calibri" w:hAnsi="Calibri"/>
                <w:b w:val="0"/>
                <w:color w:val="7ED8E8"/>
                <w:sz w:val="22"/>
              </w:rPr>
              <w:t>Tamil Nadu, India</w:t>
            </w:r>
          </w:p>
        </w:tc>
      </w:tr>
    </w:tbl>
    <w:p/>
    <w:p>
      <w:pPr>
        <w:jc w:val="center"/>
      </w:pPr>
      <w:r>
        <w:rPr>
          <w:rFonts w:ascii="Calibri" w:hAnsi="Calibri"/>
          <w:i/>
          <w:color w:val="64748B"/>
          <w:sz w:val="22"/>
        </w:rPr>
        <w:t>HealthPlus HMS — Empowering Hospitals, Improving Lives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