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after="200"/>
      </w:pPr>
      <w:r>
        <w:rPr>
          <w:rFonts w:ascii="Arial" w:cs="Arial" w:eastAsia="Arial" w:hAnsi="Arial"/>
          <w:b/>
          <w:bCs/>
          <w:color w:val="2C2C2C"/>
          <w:sz w:val="56"/>
          <w:szCs w:val="56"/>
        </w:rPr>
        <w:t xml:space="preserve">AI Ethics Toolkit</w:t>
      </w:r>
    </w:p>
    <w:p>
      <w:pPr>
        <w:spacing w:before="0" w:after="120"/>
      </w:pPr>
      <w:r>
        <w:rPr>
          <w:rFonts w:ascii="Arial" w:cs="Arial" w:eastAsia="Arial" w:hAnsi="Arial"/>
          <w:color w:val="666666"/>
          <w:sz w:val="32"/>
          <w:szCs w:val="32"/>
        </w:rPr>
        <w:t xml:space="preserve">Retail, E-Commerce &amp; Platform Commerce</w:t>
      </w:r>
    </w:p>
    <w:p>
      <w:pPr>
        <w:spacing w:before="0" w:after="600"/>
      </w:pPr>
      <w:r>
        <w:rPr>
          <w:rFonts w:ascii="Arial" w:cs="Arial" w:eastAsia="Arial" w:hAnsi="Arial"/>
          <w:b/>
          <w:bCs/>
          <w:color w:val="E8705A"/>
          <w:sz w:val="28"/>
          <w:szCs w:val="28"/>
        </w:rPr>
        <w:t xml:space="preserve">Dimension 2 — Biases and Errors of AI Systems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c>
          <w:tcPr>
            <w:tcBorders>
              <w:top w:val="none" w:color="FFFFFF" w:sz="0"/>
              <w:left w:val="none" w:color="FFFFFF" w:sz="0"/>
              <w:bottom w:val="none" w:color="FFFFFF" w:sz="0"/>
              <w:right w:val="none" w:color="FFFFFF" w:sz="0"/>
            </w:tcBorders>
            <w:shd w:fill="F5F5F5" w:val="clear"/>
            <w:tcMar>
              <w:top w:type="dxa" w:w="80"/>
              <w:left w:type="dxa" w:w="160"/>
              <w:bottom w:type="dxa" w:w="80"/>
              <w:right w:type="dxa" w:w="160"/>
            </w:tcMar>
          </w:tcPr>
          <w:p>
            <w:pPr>
              <w:spacing w:before="60" w:after="60"/>
            </w:pPr>
            <w:r>
              <w:rPr>
                <w:rFonts w:ascii="Arial" w:cs="Arial" w:eastAsia="Arial" w:hAnsi="Arial"/>
                <w:b/>
                <w:bCs/>
                <w:color w:val="666666"/>
                <w:sz w:val="18"/>
                <w:szCs w:val="18"/>
              </w:rPr>
              <w:t xml:space="preserve">Course</w:t>
            </w:r>
          </w:p>
        </w:tc>
        <w:tc>
          <w:tcPr>
            <w:tcBorders>
              <w:top w:val="none" w:color="FFFFFF" w:sz="0"/>
              <w:left w:val="none" w:color="FFFFFF" w:sz="0"/>
              <w:bottom w:val="none" w:color="FFFFFF" w:sz="0"/>
              <w:right w:val="none" w:color="FFFFFF" w:sz="0"/>
            </w:tcBorders>
            <w:shd w:fill="F5F5F5" w:val="clear"/>
            <w:tcMar>
              <w:top w:type="dxa" w:w="80"/>
              <w:left w:type="dxa" w:w="160"/>
              <w:bottom w:type="dxa" w:w="80"/>
              <w:right w:type="dxa" w:w="160"/>
            </w:tcMar>
          </w:tcPr>
          <w:p>
            <w:pPr>
              <w:spacing w:before="60" w:after="60"/>
            </w:pPr>
            <w:r>
              <w:rPr>
                <w:rFonts w:ascii="Arial" w:cs="Arial" w:eastAsia="Arial" w:hAnsi="Arial"/>
                <w:color w:val="2C2C2C"/>
                <w:sz w:val="18"/>
                <w:szCs w:val="18"/>
              </w:rPr>
              <w:t xml:space="preserve">Analytics and Society — MAAI, ESMT Berlin</w:t>
            </w:r>
          </w:p>
        </w:tc>
      </w:tr>
      <w:tr>
        <w:tc>
          <w:tcPr>
            <w:tcBorders>
              <w:top w:val="none" w:color="FFFFFF" w:sz="0"/>
              <w:left w:val="none" w:color="FFFFFF" w:sz="0"/>
              <w:bottom w:val="none" w:color="FFFFFF" w:sz="0"/>
              <w:right w:val="none" w:color="FFFFFF" w:sz="0"/>
            </w:tcBorders>
            <w:shd w:fill="F5F5F5" w:val="clear"/>
            <w:tcMar>
              <w:top w:type="dxa" w:w="80"/>
              <w:left w:type="dxa" w:w="160"/>
              <w:bottom w:type="dxa" w:w="80"/>
              <w:right w:type="dxa" w:w="160"/>
            </w:tcMar>
          </w:tcPr>
          <w:p>
            <w:pPr>
              <w:spacing w:before="60" w:after="60"/>
            </w:pPr>
            <w:r>
              <w:rPr>
                <w:rFonts w:ascii="Arial" w:cs="Arial" w:eastAsia="Arial" w:hAnsi="Arial"/>
                <w:b/>
                <w:bCs/>
                <w:color w:val="666666"/>
                <w:sz w:val="18"/>
                <w:szCs w:val="18"/>
              </w:rPr>
              <w:t xml:space="preserve">Framework</w:t>
            </w:r>
          </w:p>
        </w:tc>
        <w:tc>
          <w:tcPr>
            <w:tcBorders>
              <w:top w:val="none" w:color="FFFFFF" w:sz="0"/>
              <w:left w:val="none" w:color="FFFFFF" w:sz="0"/>
              <w:bottom w:val="none" w:color="FFFFFF" w:sz="0"/>
              <w:right w:val="none" w:color="FFFFFF" w:sz="0"/>
            </w:tcBorders>
            <w:shd w:fill="F5F5F5" w:val="clear"/>
            <w:tcMar>
              <w:top w:type="dxa" w:w="80"/>
              <w:left w:type="dxa" w:w="160"/>
              <w:bottom w:type="dxa" w:w="80"/>
              <w:right w:type="dxa" w:w="160"/>
            </w:tcMar>
          </w:tcPr>
          <w:p>
            <w:pPr>
              <w:spacing w:before="60" w:after="60"/>
            </w:pPr>
            <w:r>
              <w:rPr>
                <w:rFonts w:ascii="Arial" w:cs="Arial" w:eastAsia="Arial" w:hAnsi="Arial"/>
                <w:color w:val="2C2C2C"/>
                <w:sz w:val="18"/>
                <w:szCs w:val="18"/>
              </w:rPr>
              <w:t xml:space="preserve">ABACUS/ROBOTS (Urs Mueller, 2023-2026)</w:t>
            </w:r>
          </w:p>
        </w:tc>
      </w:tr>
      <w:tr>
        <w:tc>
          <w:tcPr>
            <w:tcBorders>
              <w:top w:val="none" w:color="FFFFFF" w:sz="0"/>
              <w:left w:val="none" w:color="FFFFFF" w:sz="0"/>
              <w:bottom w:val="none" w:color="FFFFFF" w:sz="0"/>
              <w:right w:val="none" w:color="FFFFFF" w:sz="0"/>
            </w:tcBorders>
            <w:shd w:fill="F5F5F5" w:val="clear"/>
            <w:tcMar>
              <w:top w:type="dxa" w:w="80"/>
              <w:left w:type="dxa" w:w="160"/>
              <w:bottom w:type="dxa" w:w="80"/>
              <w:right w:type="dxa" w:w="160"/>
            </w:tcMar>
          </w:tcPr>
          <w:p>
            <w:pPr>
              <w:spacing w:before="60" w:after="60"/>
            </w:pPr>
            <w:r>
              <w:rPr>
                <w:rFonts w:ascii="Arial" w:cs="Arial" w:eastAsia="Arial" w:hAnsi="Arial"/>
                <w:b/>
                <w:bCs/>
                <w:color w:val="666666"/>
                <w:sz w:val="18"/>
                <w:szCs w:val="18"/>
              </w:rPr>
              <w:t xml:space="preserve">Industry</w:t>
            </w:r>
          </w:p>
        </w:tc>
        <w:tc>
          <w:tcPr>
            <w:tcBorders>
              <w:top w:val="none" w:color="FFFFFF" w:sz="0"/>
              <w:left w:val="none" w:color="FFFFFF" w:sz="0"/>
              <w:bottom w:val="none" w:color="FFFFFF" w:sz="0"/>
              <w:right w:val="none" w:color="FFFFFF" w:sz="0"/>
            </w:tcBorders>
            <w:shd w:fill="F5F5F5" w:val="clear"/>
            <w:tcMar>
              <w:top w:type="dxa" w:w="80"/>
              <w:left w:type="dxa" w:w="160"/>
              <w:bottom w:type="dxa" w:w="80"/>
              <w:right w:type="dxa" w:w="160"/>
            </w:tcMar>
          </w:tcPr>
          <w:p>
            <w:pPr>
              <w:spacing w:before="60" w:after="60"/>
            </w:pPr>
            <w:r>
              <w:rPr>
                <w:rFonts w:ascii="Arial" w:cs="Arial" w:eastAsia="Arial" w:hAnsi="Arial"/>
                <w:color w:val="2C2C2C"/>
                <w:sz w:val="18"/>
                <w:szCs w:val="18"/>
              </w:rPr>
              <w:t xml:space="preserve">Retail, E-Commerce, Platform Commerce</w:t>
            </w:r>
          </w:p>
        </w:tc>
      </w:tr>
      <w:tr>
        <w:tc>
          <w:tcPr>
            <w:tcBorders>
              <w:top w:val="none" w:color="FFFFFF" w:sz="0"/>
              <w:left w:val="none" w:color="FFFFFF" w:sz="0"/>
              <w:bottom w:val="none" w:color="FFFFFF" w:sz="0"/>
              <w:right w:val="none" w:color="FFFFFF" w:sz="0"/>
            </w:tcBorders>
            <w:shd w:fill="F5F5F5" w:val="clear"/>
            <w:tcMar>
              <w:top w:type="dxa" w:w="80"/>
              <w:left w:type="dxa" w:w="160"/>
              <w:bottom w:type="dxa" w:w="80"/>
              <w:right w:type="dxa" w:w="160"/>
            </w:tcMar>
          </w:tcPr>
          <w:p>
            <w:pPr>
              <w:spacing w:before="60" w:after="60"/>
            </w:pPr>
            <w:r>
              <w:rPr>
                <w:rFonts w:ascii="Arial" w:cs="Arial" w:eastAsia="Arial" w:hAnsi="Arial"/>
                <w:b/>
                <w:bCs/>
                <w:color w:val="666666"/>
                <w:sz w:val="18"/>
                <w:szCs w:val="18"/>
              </w:rPr>
              <w:t xml:space="preserve">Date</w:t>
            </w:r>
          </w:p>
        </w:tc>
        <w:tc>
          <w:tcPr>
            <w:tcBorders>
              <w:top w:val="none" w:color="FFFFFF" w:sz="0"/>
              <w:left w:val="none" w:color="FFFFFF" w:sz="0"/>
              <w:bottom w:val="none" w:color="FFFFFF" w:sz="0"/>
              <w:right w:val="none" w:color="FFFFFF" w:sz="0"/>
            </w:tcBorders>
            <w:shd w:fill="F5F5F5" w:val="clear"/>
            <w:tcMar>
              <w:top w:type="dxa" w:w="80"/>
              <w:left w:type="dxa" w:w="160"/>
              <w:bottom w:type="dxa" w:w="80"/>
              <w:right w:type="dxa" w:w="160"/>
            </w:tcMar>
          </w:tcPr>
          <w:p>
            <w:pPr>
              <w:spacing w:before="60" w:after="60"/>
            </w:pPr>
            <w:r>
              <w:rPr>
                <w:rFonts w:ascii="Arial" w:cs="Arial" w:eastAsia="Arial" w:hAnsi="Arial"/>
                <w:color w:val="2C2C2C"/>
                <w:sz w:val="18"/>
                <w:szCs w:val="18"/>
              </w:rPr>
              <w:t xml:space="preserve">March 2026</w:t>
            </w:r>
          </w:p>
        </w:tc>
      </w:tr>
    </w:tbl>
    <w:p>
      <w:pPr>
        <w:spacing w:before="60" w:after="60"/>
      </w:pPr>
      <w:r>
        <w:t xml:space="preserve"/>
      </w:r>
    </w:p>
    <w:p>
      <w:pPr>
        <w:spacing w:before="200" w:after="0"/>
      </w:pPr>
      <w:r>
        <w:rPr>
          <w:rFonts w:ascii="Arial" w:cs="Arial" w:eastAsia="Arial" w:hAnsi="Arial"/>
          <w:i/>
          <w:iCs/>
          <w:color w:val="666666"/>
          <w:sz w:val="18"/>
          <w:szCs w:val="18"/>
        </w:rPr>
        <w:t xml:space="preserve">This section was developed with substantial AI assistance (Claude). The AI collaboration process is documented in the accompanying deliverable.</w:t>
      </w:r>
    </w:p>
    <w:p>
      <w:r>
        <w:br w:type="page"/>
      </w:r>
    </w:p>
    <w:p>
      <w:pPr>
        <w:spacing w:before="0" w:after="300"/>
      </w:pPr>
      <w:r>
        <w:rPr>
          <w:rFonts w:ascii="Arial" w:cs="Arial" w:eastAsia="Arial" w:hAnsi="Arial"/>
          <w:b/>
          <w:bCs/>
          <w:color w:val="2C2C2C"/>
          <w:sz w:val="36"/>
          <w:szCs w:val="36"/>
        </w:rPr>
        <w:t xml:space="preserve">Dimension 2 — Biases and Errors of AI Systems</w:t>
      </w:r>
    </w:p>
    <w:p>
      <w:pPr>
        <w:spacing w:before="0" w:after="300"/>
      </w:pPr>
      <w:r>
        <w:rPr>
          <w:rFonts w:ascii="Arial" w:cs="Arial" w:eastAsia="Arial" w:hAnsi="Arial"/>
          <w:color w:val="2C2C2C"/>
          <w:sz w:val="20"/>
          <w:szCs w:val="20"/>
        </w:rPr>
        <w:t xml:space="preserve">Retail AI systems are trained on massive volumes of historical transaction, behavioural, and demographic data — data that inevitably reflects real-world inequalities. When recommendation engines, pricing algorithms, delivery zone models, or product discovery tools are optimised for narrow business metrics without auditing their demographic effects, they produce outputs that are systematically unfair, incorrect, or misleading. The "jagged frontier" of AI capability — where models excel at some tasks while failing unpredictably at others — makes bias particularly difficult to detect in production environments, where aggregate performance metrics can look strong while masking disparate impact on specific groups. This dimension applies across the full spectrum of retail and platform commerce: general marketplaces (Amazon, eBay), fashion platforms (Zalando, ASOS, Shein), social commerce (TikTok Shop, Instagram Shopping), grocery and quick commerce (Instacart, Ocado, Getir), recommerce (Vinted, Depop, ThredUp), cross-border platforms (Temu, Wish), and BNPL-integrated checkout experiences (Klarna, Afterpay).</w:t>
      </w:r>
    </w:p>
    <w:p>
      <w:pPr>
        <w:spacing w:before="60" w:after="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none" w:color="FFFFFF" w:sz="0"/>
              <w:left w:val="none" w:color="FFFFFF" w:sz="0"/>
              <w:bottom w:val="none" w:color="FFFFFF" w:sz="0"/>
              <w:right w:val="none" w:color="FFFFFF" w:sz="0"/>
            </w:tcBorders>
            <w:shd w:fill="E8705A" w:val="clear"/>
            <w:tcMar>
              <w:top w:type="dxa" w:w="160"/>
              <w:left w:type="dxa" w:w="200"/>
              <w:bottom w:type="dxa" w:w="160"/>
              <w:right w:type="dxa" w:w="200"/>
            </w:tcMar>
          </w:tcPr>
          <w:p>
            <w:r>
              <w:rPr>
                <w:rFonts w:ascii="Arial" w:cs="Arial" w:eastAsia="Arial" w:hAnsi="Arial"/>
                <w:b/>
                <w:bCs/>
                <w:color w:val="FFFFFF"/>
                <w:sz w:val="26"/>
                <w:szCs w:val="26"/>
              </w:rPr>
              <w:t xml:space="preserve">A2: Assessment Questions</w:t>
            </w:r>
          </w:p>
        </w:tc>
      </w:tr>
      <w:tr>
        <w:tc>
          <w:tcPr>
            <w:tcBorders>
              <w:top w:val="none" w:color="FFFFFF" w:sz="0"/>
              <w:left w:val="none" w:color="FFFFFF" w:sz="0"/>
              <w:bottom w:val="none" w:color="FFFFFF" w:sz="0"/>
              <w:right w:val="none" w:color="FFFFFF" w:sz="0"/>
            </w:tcBorders>
            <w:shd w:fill="FDECEA" w:val="clear"/>
            <w:tcMar>
              <w:top w:type="dxa" w:w="120"/>
              <w:left w:type="dxa" w:w="200"/>
              <w:bottom w:type="dxa" w:w="120"/>
              <w:right w:type="dxa" w:w="200"/>
            </w:tcMar>
          </w:tcPr>
          <w:p>
            <w:pPr>
              <w:spacing w:before="80" w:after="40"/>
            </w:pPr>
            <w:r>
              <w:t xml:space="preserve"/>
            </w:r>
          </w:p>
          <w:p>
            <w:pPr>
              <w:spacing w:before="60" w:after="60"/>
            </w:pPr>
            <w:r>
              <w:rPr>
                <w:rFonts w:ascii="Arial" w:cs="Arial" w:eastAsia="Arial" w:hAnsi="Arial"/>
                <w:i/>
                <w:iCs/>
                <w:color w:val="666666"/>
                <w:sz w:val="18"/>
                <w:szCs w:val="18"/>
              </w:rPr>
              <w:t xml:space="preserve">Applies to: general marketplaces (Amazon, eBay), fashion platforms (Zalando, ASOS, Shein), social commerce (TikTok Shop, Instagram Shopping), grocery/quick commerce (Instacart, Ocado, Getir), recommerce (Vinted, Depop), cross-border platforms (Temu, Wish), and BNPL-integrated checkout experiences (Klarna, Afterpay).</w:t>
            </w:r>
          </w:p>
          <w:p>
            <w:pPr>
              <w:spacing w:before="60" w:after="20"/>
            </w:pPr>
            <w:r>
              <w:t xml:space="preserve"/>
            </w:r>
          </w:p>
          <w:p>
            <w:pPr>
              <w:spacing w:before="140" w:after="60"/>
            </w:pPr>
            <w:r>
              <w:rPr>
                <w:rFonts w:ascii="Arial" w:cs="Arial" w:eastAsia="Arial" w:hAnsi="Arial"/>
                <w:b/>
                <w:bCs/>
                <w:color w:val="2C2C2C"/>
                <w:sz w:val="22"/>
                <w:szCs w:val="22"/>
              </w:rPr>
              <w:t xml:space="preserve">Data &amp; training representation</w:t>
            </w:r>
          </w:p>
          <w:p>
            <w:pPr>
              <w:pStyle w:val="ListParagraph"/>
              <w:numPr>
                <w:ilvl w:val="0"/>
                <w:numId w:val="2"/>
              </w:numPr>
              <w:spacing w:before="50" w:after="50"/>
            </w:pPr>
            <w:r>
              <w:rPr>
                <w:rFonts w:ascii="Arial" w:cs="Arial" w:eastAsia="Arial" w:hAnsi="Arial"/>
                <w:color w:val="2C2C2C"/>
                <w:sz w:val="20"/>
                <w:szCs w:val="20"/>
              </w:rPr>
              <w:t xml:space="preserve">Has the training data for our recommendation, search, and pricing algorithms been audited for demographic representation — by age, gender, geography, skin tone, body type, and language?</w:t>
            </w:r>
          </w:p>
          <w:p>
            <w:pPr>
              <w:pStyle w:val="ListParagraph"/>
              <w:numPr>
                <w:ilvl w:val="0"/>
                <w:numId w:val="2"/>
              </w:numPr>
              <w:spacing w:before="50" w:after="50"/>
            </w:pPr>
            <w:r>
              <w:rPr>
                <w:rFonts w:ascii="Arial" w:cs="Arial" w:eastAsia="Arial" w:hAnsi="Arial"/>
                <w:color w:val="2C2C2C"/>
                <w:sz w:val="20"/>
                <w:szCs w:val="20"/>
              </w:rPr>
              <w:t xml:space="preserve">Do our AI-powered visual tools — virtual try-on, size recommendations, product image generation, condition assessment on recommerce platforms — perform equally well across different skin tones, body types, and regional demographics?</w:t>
            </w:r>
          </w:p>
          <w:p>
            <w:pPr>
              <w:pStyle w:val="ListParagraph"/>
              <w:numPr>
                <w:ilvl w:val="0"/>
                <w:numId w:val="2"/>
              </w:numPr>
              <w:spacing w:before="50" w:after="50"/>
            </w:pPr>
            <w:r>
              <w:rPr>
                <w:rFonts w:ascii="Arial" w:cs="Arial" w:eastAsia="Arial" w:hAnsi="Arial"/>
                <w:color w:val="2C2C2C"/>
                <w:sz w:val="20"/>
                <w:szCs w:val="20"/>
              </w:rPr>
              <w:t xml:space="preserve">For social commerce platforms (TikTok Shop, Instagram Shopping): are the engagement signals used to train recommendation algorithms representative of all user segments, or do they systematically amplify content created by or for majority demographics?</w:t>
            </w:r>
          </w:p>
          <w:p>
            <w:pPr>
              <w:pStyle w:val="ListParagraph"/>
              <w:numPr>
                <w:ilvl w:val="0"/>
                <w:numId w:val="2"/>
              </w:numPr>
              <w:spacing w:before="50" w:after="50"/>
            </w:pPr>
            <w:r>
              <w:rPr>
                <w:rFonts w:ascii="Arial" w:cs="Arial" w:eastAsia="Arial" w:hAnsi="Arial"/>
                <w:color w:val="2C2C2C"/>
                <w:sz w:val="20"/>
                <w:szCs w:val="20"/>
              </w:rPr>
              <w:t xml:space="preserve">For cross-border platforms (Temu, Wish, AliExpress): are models trained predominantly on Chinese or US consumer data applied without recalibration to European, African, or Latin American users with different purchasing patterns and size standards?</w:t>
            </w:r>
          </w:p>
          <w:p>
            <w:pPr>
              <w:spacing w:before="140" w:after="60"/>
            </w:pPr>
            <w:r>
              <w:rPr>
                <w:rFonts w:ascii="Arial" w:cs="Arial" w:eastAsia="Arial" w:hAnsi="Arial"/>
                <w:b/>
                <w:bCs/>
                <w:color w:val="2C2C2C"/>
                <w:sz w:val="22"/>
                <w:szCs w:val="22"/>
              </w:rPr>
              <w:t xml:space="preserve">Algorithmic design &amp; proxies</w:t>
            </w:r>
          </w:p>
          <w:p>
            <w:pPr>
              <w:pStyle w:val="ListParagraph"/>
              <w:numPr>
                <w:ilvl w:val="0"/>
                <w:numId w:val="2"/>
              </w:numPr>
              <w:spacing w:before="50" w:after="50"/>
            </w:pPr>
            <w:r>
              <w:rPr>
                <w:rFonts w:ascii="Arial" w:cs="Arial" w:eastAsia="Arial" w:hAnsi="Arial"/>
                <w:color w:val="2C2C2C"/>
                <w:sz w:val="20"/>
                <w:szCs w:val="20"/>
              </w:rPr>
              <w:t xml:space="preserve">Does our dynamic pricing or personalisation system use input variables (ZIP code, device type, browsing time, loyalty tier, delivery address) that function as proxies for protected characteristics such as race, income, or disability?</w:t>
            </w:r>
          </w:p>
          <w:p>
            <w:pPr>
              <w:pStyle w:val="ListParagraph"/>
              <w:numPr>
                <w:ilvl w:val="0"/>
                <w:numId w:val="2"/>
              </w:numPr>
              <w:spacing w:before="50" w:after="50"/>
            </w:pPr>
            <w:r>
              <w:rPr>
                <w:rFonts w:ascii="Arial" w:cs="Arial" w:eastAsia="Arial" w:hAnsi="Arial"/>
                <w:color w:val="2C2C2C"/>
                <w:sz w:val="20"/>
                <w:szCs w:val="20"/>
              </w:rPr>
              <w:t xml:space="preserve">For general marketplaces (Amazon, eBay, Etsy): does our search ranking algorithm systematically favour sponsored listings, own-brand products, or Prime-enrolled sellers over equally relevant alternatives — in ways that effectively disadvantage certain seller demographics or geographies?</w:t>
            </w:r>
          </w:p>
          <w:p>
            <w:pPr>
              <w:pStyle w:val="ListParagraph"/>
              <w:numPr>
                <w:ilvl w:val="0"/>
                <w:numId w:val="2"/>
              </w:numPr>
              <w:spacing w:before="50" w:after="50"/>
            </w:pPr>
            <w:r>
              <w:rPr>
                <w:rFonts w:ascii="Arial" w:cs="Arial" w:eastAsia="Arial" w:hAnsi="Arial"/>
                <w:color w:val="2C2C2C"/>
                <w:sz w:val="20"/>
                <w:szCs w:val="20"/>
              </w:rPr>
              <w:t xml:space="preserve">For grocery and quick commerce platforms (Instacart, Getir, Gorillas): do AI-driven delivery zone definitions, availability decisions, or pricing tiers create geographic disparities that map onto income or racial lines — effectively replicating digital redlining?</w:t>
            </w:r>
          </w:p>
          <w:p>
            <w:pPr>
              <w:pStyle w:val="ListParagraph"/>
              <w:numPr>
                <w:ilvl w:val="0"/>
                <w:numId w:val="2"/>
              </w:numPr>
              <w:spacing w:before="50" w:after="50"/>
            </w:pPr>
            <w:r>
              <w:rPr>
                <w:rFonts w:ascii="Arial" w:cs="Arial" w:eastAsia="Arial" w:hAnsi="Arial"/>
                <w:color w:val="2C2C2C"/>
                <w:sz w:val="20"/>
                <w:szCs w:val="20"/>
              </w:rPr>
              <w:t xml:space="preserve">For BNPL-integrated platforms (Klarna checkout, Afterpay): are shopping behaviour signals (product categories, purchase frequency, return patterns) used as credit proxies — and do these proxies perform differently across demographic groups?</w:t>
            </w:r>
          </w:p>
          <w:p>
            <w:pPr>
              <w:spacing w:before="140" w:after="60"/>
            </w:pPr>
            <w:r>
              <w:rPr>
                <w:rFonts w:ascii="Arial" w:cs="Arial" w:eastAsia="Arial" w:hAnsi="Arial"/>
                <w:b/>
                <w:bCs/>
                <w:color w:val="2C2C2C"/>
                <w:sz w:val="22"/>
                <w:szCs w:val="22"/>
              </w:rPr>
              <w:t xml:space="preserve">Error detection &amp; remediation</w:t>
            </w:r>
          </w:p>
          <w:p>
            <w:pPr>
              <w:pStyle w:val="ListParagraph"/>
              <w:numPr>
                <w:ilvl w:val="0"/>
                <w:numId w:val="2"/>
              </w:numPr>
              <w:spacing w:before="50" w:after="50"/>
            </w:pPr>
            <w:r>
              <w:rPr>
                <w:rFonts w:ascii="Arial" w:cs="Arial" w:eastAsia="Arial" w:hAnsi="Arial"/>
                <w:color w:val="2C2C2C"/>
                <w:sz w:val="20"/>
                <w:szCs w:val="20"/>
              </w:rPr>
              <w:t xml:space="preserve">Are product recommendation and search ranking algorithms creating filter bubbles that limit customer discovery and reinforce purchasing stereotypes by demographic group across all platform types?</w:t>
            </w:r>
          </w:p>
          <w:p>
            <w:pPr>
              <w:pStyle w:val="ListParagraph"/>
              <w:numPr>
                <w:ilvl w:val="0"/>
                <w:numId w:val="2"/>
              </w:numPr>
              <w:spacing w:before="50" w:after="50"/>
            </w:pPr>
            <w:r>
              <w:rPr>
                <w:rFonts w:ascii="Arial" w:cs="Arial" w:eastAsia="Arial" w:hAnsi="Arial"/>
                <w:color w:val="2C2C2C"/>
                <w:sz w:val="20"/>
                <w:szCs w:val="20"/>
              </w:rPr>
              <w:t xml:space="preserve">When our AI systems make errors — wrong size recommendations, discriminatory pricing, biased search results, unfair condition assessments on recommerce platforms — how quickly are these detected, and is there a clear remediation process?</w:t>
            </w:r>
          </w:p>
          <w:p>
            <w:pPr>
              <w:pStyle w:val="ListParagraph"/>
              <w:numPr>
                <w:ilvl w:val="0"/>
                <w:numId w:val="2"/>
              </w:numPr>
              <w:spacing w:before="50" w:after="50"/>
            </w:pPr>
            <w:r>
              <w:rPr>
                <w:rFonts w:ascii="Arial" w:cs="Arial" w:eastAsia="Arial" w:hAnsi="Arial"/>
                <w:color w:val="2C2C2C"/>
                <w:sz w:val="20"/>
                <w:szCs w:val="20"/>
              </w:rPr>
              <w:t xml:space="preserve">Are bias audits conducted at deployment only, or on a continuous basis as data and model behaviour drift over time and new product categories or geographies are added?</w:t>
            </w:r>
          </w:p>
          <w:p>
            <w:pPr>
              <w:pStyle w:val="ListParagraph"/>
              <w:numPr>
                <w:ilvl w:val="0"/>
                <w:numId w:val="2"/>
              </w:numPr>
              <w:spacing w:before="50" w:after="50"/>
            </w:pPr>
            <w:r>
              <w:rPr>
                <w:rFonts w:ascii="Arial" w:cs="Arial" w:eastAsia="Arial" w:hAnsi="Arial"/>
                <w:color w:val="2C2C2C"/>
                <w:sz w:val="20"/>
                <w:szCs w:val="20"/>
              </w:rPr>
              <w:t xml:space="preserve">Do we have a mechanism for marketplace sellers, especially those from underrepresented geographies, to report and escalate suspected algorithmic bias affecting their visibility or sales?</w:t>
            </w:r>
          </w:p>
          <w:p>
            <w:pPr>
              <w:spacing w:before="60" w:after="40"/>
            </w:pPr>
            <w:r>
              <w:t xml:space="preserve"/>
            </w:r>
          </w:p>
        </w:tc>
      </w:tr>
    </w:tbl>
    <w:p>
      <w:pPr>
        <w:spacing w:before="60" w:after="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none" w:color="FFFFFF" w:sz="0"/>
              <w:left w:val="none" w:color="FFFFFF" w:sz="0"/>
              <w:bottom w:val="none" w:color="FFFFFF" w:sz="0"/>
              <w:right w:val="none" w:color="FFFFFF" w:sz="0"/>
            </w:tcBorders>
            <w:shd w:fill="E8705A" w:val="clear"/>
            <w:tcMar>
              <w:top w:type="dxa" w:w="160"/>
              <w:left w:type="dxa" w:w="200"/>
              <w:bottom w:type="dxa" w:w="160"/>
              <w:right w:type="dxa" w:w="200"/>
            </w:tcMar>
          </w:tcPr>
          <w:p>
            <w:r>
              <w:rPr>
                <w:rFonts w:ascii="Arial" w:cs="Arial" w:eastAsia="Arial" w:hAnsi="Arial"/>
                <w:b/>
                <w:bCs/>
                <w:color w:val="FFFFFF"/>
                <w:sz w:val="26"/>
                <w:szCs w:val="26"/>
              </w:rPr>
              <w:t xml:space="preserve">Industry Cases</w:t>
            </w:r>
          </w:p>
        </w:tc>
      </w:tr>
      <w:tr>
        <w:tc>
          <w:tcPr>
            <w:tcBorders>
              <w:top w:val="none" w:color="FFFFFF" w:sz="0"/>
              <w:left w:val="none" w:color="FFFFFF" w:sz="0"/>
              <w:bottom w:val="none" w:color="FFFFFF" w:sz="0"/>
              <w:right w:val="none" w:color="FFFFFF" w:sz="0"/>
            </w:tcBorders>
            <w:shd w:fill="FDECEA" w:val="clear"/>
            <w:tcMar>
              <w:top w:type="dxa" w:w="120"/>
              <w:left w:type="dxa" w:w="200"/>
              <w:bottom w:type="dxa" w:w="120"/>
              <w:right w:type="dxa" w:w="200"/>
            </w:tcMar>
          </w:tcPr>
          <w:p>
            <w:pPr>
              <w:spacing w:before="80" w:after="40"/>
            </w:pPr>
            <w:r>
              <w:t xml:space="preserve"/>
            </w:r>
          </w:p>
          <w:p>
            <w:pPr>
              <w:spacing w:before="120" w:after="40"/>
            </w:pPr>
            <w:r>
              <w:rPr>
                <w:rFonts w:ascii="Arial" w:cs="Arial" w:eastAsia="Arial" w:hAnsi="Arial"/>
                <w:b/>
                <w:bCs/>
                <w:color w:val="2C2C2C"/>
                <w:sz w:val="20"/>
                <w:szCs w:val="20"/>
              </w:rPr>
              <w:t xml:space="preserve">1. Dynamic pricing discrimination across e-commerce platforms (2012-present)</w:t>
            </w:r>
          </w:p>
          <w:p>
            <w:pPr>
              <w:spacing w:before="40" w:after="100"/>
            </w:pPr>
            <w:r>
              <w:rPr>
                <w:rFonts w:ascii="Arial" w:cs="Arial" w:eastAsia="Arial" w:hAnsi="Arial"/>
                <w:color w:val="2C2C2C"/>
                <w:sz w:val="20"/>
                <w:szCs w:val="20"/>
              </w:rPr>
              <w:t xml:space="preserve">A 2012 Wall Street Journal investigation first documented that major US retailers — including Staples and Home Depot — were charging different prices to users based on ZIP code and device type, with wealthier postcodes systematically receiving lower prices. A 2014 academic study by Hannak et al. (Northeastern University) confirmed that personalised pricing was widespread across major e-commerce platforms, with location, device, and browsing history functioning as income proxies. In 2022, consumer watchdogs in Germany documented similar price differentials on Amazon and Zalando correlating with user profiles derived from behavioural data. This pattern extends beyond retail: Uber's surge pricing has been shown to affect lower-income neighbourhoods disproportionately, and BNPL providers such as Klarna use shopping behaviour signals to make credit decisions — meaning what you buy and when can determine your access to credit, often without consumer awareness. The core mechanism is algorithmic bias combined with data-related bias: the optimisation function maximises revenue with no fairness constraint, and the training data encodes the historical relationship between location, device ownership, and purchasing power.</w:t>
            </w:r>
          </w:p>
          <w:p>
            <w:pPr>
              <w:spacing w:before="120" w:after="40"/>
            </w:pPr>
            <w:r>
              <w:rPr>
                <w:rFonts w:ascii="Arial" w:cs="Arial" w:eastAsia="Arial" w:hAnsi="Arial"/>
                <w:b/>
                <w:bCs/>
                <w:color w:val="2C2C2C"/>
                <w:sz w:val="20"/>
                <w:szCs w:val="20"/>
              </w:rPr>
              <w:t xml:space="preserve">2. AI visual and search tools failing on underrepresented demographics (2018-present)</w:t>
            </w:r>
          </w:p>
          <w:p>
            <w:pPr>
              <w:spacing w:before="40" w:after="100"/>
            </w:pPr>
            <w:r>
              <w:rPr>
                <w:rFonts w:ascii="Arial" w:cs="Arial" w:eastAsia="Arial" w:hAnsi="Arial"/>
                <w:color w:val="2C2C2C"/>
                <w:sz w:val="20"/>
                <w:szCs w:val="20"/>
              </w:rPr>
              <w:t xml:space="preserve">Buolamwini and Gebru's Gender Shades study (MIT Media Lab, 2018) demonstrated that commercial facial analysis tools had error rates up to 34 percentage points higher for darker-skinned women than lighter-skinned men. This finding has direct retail implications: ModiFace (acquired by L'Oreal in 2018), which powers virtual try-on tools for Sephora and YSL Beaute, has faced documented criticism for inferior shade-matching on deeper skin tones. AI-powered size recommendation engines used by Zalando, H&amp;M, and ASOS — trained predominantly on Western European body measurement datasets — produce higher return rates for customers from other regions. On general marketplaces, Amazon's search ranking has been documented to over-index on engagement signals dominated by US and Western European customers, meaning products sold primarily to non-Western demographics may receive structurally lower visibility regardless of quality. On social commerce platforms such as TikTok Shop, researchers at the University of Southern California (2023) documented that recommendation algorithms trained on US engagement data systematically amplified certain aesthetics and product types over others, with measurable demographic concentration in the exposed audiences.</w:t>
            </w:r>
          </w:p>
          <w:p>
            <w:pPr>
              <w:spacing w:before="120" w:after="40"/>
            </w:pPr>
            <w:r>
              <w:rPr>
                <w:rFonts w:ascii="Arial" w:cs="Arial" w:eastAsia="Arial" w:hAnsi="Arial"/>
                <w:b/>
                <w:bCs/>
                <w:color w:val="2C2C2C"/>
                <w:sz w:val="20"/>
                <w:szCs w:val="20"/>
              </w:rPr>
              <w:t xml:space="preserve">3. Algorithmic redlining in grocery and quick commerce delivery (2020-present)</w:t>
            </w:r>
          </w:p>
          <w:p>
            <w:pPr>
              <w:spacing w:before="40" w:after="100"/>
            </w:pPr>
            <w:r>
              <w:rPr>
                <w:rFonts w:ascii="Arial" w:cs="Arial" w:eastAsia="Arial" w:hAnsi="Arial"/>
                <w:color w:val="2C2C2C"/>
                <w:sz w:val="20"/>
                <w:szCs w:val="20"/>
              </w:rPr>
              <w:t xml:space="preserve">A 2020 investigation by the Washington Post and subsequent studies documented that major grocery delivery platforms — including Instacart and Amazon Fresh — defined delivery zones that systematically excluded lower-income and majority-minority neighbourhoods, even when located within the same metropolitan area as well-served affluent postcodes. The zone boundaries were determined by AI demand forecasting models trained on historical order density, which was itself a product of prior access inequality: areas excluded from delivery had fewer orders because they had always been excluded. A 2022 study by researchers at Cornell University quantified this effect across 16 US cities, finding statistically significant correlations between delivery coverage gaps and neighbourhood income and racial composition. This is a compounding data-related bias: the model learns from data shaped by historical inequality and produces outputs that reproduce and entrench that inequality, while the feedback loop of exclusion makes the bias self-reinforcing over time. The effect is not limited to the US — similar patterns have been documented in quick commerce platforms (Getir, Gorillas, Flink) in Berlin, London, and Paris, where coverage maps closely mirror pre-existing socioeconomic stratification.</w:t>
            </w:r>
          </w:p>
          <w:p>
            <w:pPr>
              <w:spacing w:before="60" w:after="40"/>
            </w:pPr>
            <w:r>
              <w:t xml:space="preserve"/>
            </w:r>
          </w:p>
        </w:tc>
      </w:tr>
    </w:tbl>
    <w:p>
      <w:pPr>
        <w:spacing w:before="60" w:after="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none" w:color="FFFFFF" w:sz="0"/>
              <w:left w:val="none" w:color="FFFFFF" w:sz="0"/>
              <w:bottom w:val="none" w:color="FFFFFF" w:sz="0"/>
              <w:right w:val="none" w:color="FFFFFF" w:sz="0"/>
            </w:tcBorders>
            <w:shd w:fill="E8705A" w:val="clear"/>
            <w:tcMar>
              <w:top w:type="dxa" w:w="160"/>
              <w:left w:type="dxa" w:w="200"/>
              <w:bottom w:type="dxa" w:w="160"/>
              <w:right w:type="dxa" w:w="200"/>
            </w:tcMar>
          </w:tcPr>
          <w:p>
            <w:r>
              <w:rPr>
                <w:rFonts w:ascii="Arial" w:cs="Arial" w:eastAsia="Arial" w:hAnsi="Arial"/>
                <w:b/>
                <w:bCs/>
                <w:color w:val="FFFFFF"/>
                <w:sz w:val="26"/>
                <w:szCs w:val="26"/>
              </w:rPr>
              <w:t xml:space="preserve">How the B Dimension Tackles These Cases</w:t>
            </w:r>
          </w:p>
        </w:tc>
      </w:tr>
      <w:tr>
        <w:tc>
          <w:tcPr>
            <w:tcBorders>
              <w:top w:val="none" w:color="FFFFFF" w:sz="0"/>
              <w:left w:val="none" w:color="FFFFFF" w:sz="0"/>
              <w:bottom w:val="none" w:color="FFFFFF" w:sz="0"/>
              <w:right w:val="none" w:color="FFFFFF" w:sz="0"/>
            </w:tcBorders>
            <w:shd w:fill="FDECEA" w:val="clear"/>
            <w:tcMar>
              <w:top w:type="dxa" w:w="120"/>
              <w:left w:type="dxa" w:w="200"/>
              <w:bottom w:type="dxa" w:w="120"/>
              <w:right w:type="dxa" w:w="200"/>
            </w:tcMar>
          </w:tcPr>
          <w:p>
            <w:pPr>
              <w:spacing w:before="80" w:after="40"/>
            </w:pPr>
            <w:r>
              <w:t xml:space="preserve"/>
            </w:r>
          </w:p>
          <w:p>
            <w:pPr>
              <w:spacing w:before="140" w:after="60"/>
            </w:pPr>
            <w:r>
              <w:rPr>
                <w:rFonts w:ascii="Arial" w:cs="Arial" w:eastAsia="Arial" w:hAnsi="Arial"/>
                <w:b/>
                <w:bCs/>
                <w:color w:val="2C2C2C"/>
                <w:sz w:val="22"/>
                <w:szCs w:val="22"/>
              </w:rPr>
              <w:t xml:space="preserve">Case 1: Dynamic pricing discrimination</w:t>
            </w:r>
          </w:p>
          <w:p>
            <w:pPr>
              <w:spacing w:before="60" w:after="60"/>
            </w:pPr>
            <w:r>
              <w:rPr>
                <w:rFonts w:ascii="Arial" w:cs="Arial" w:eastAsia="Arial" w:hAnsi="Arial"/>
                <w:color w:val="2C2C2C"/>
                <w:sz w:val="20"/>
                <w:szCs w:val="20"/>
              </w:rPr>
              <w:t xml:space="preserve">This is primarily an algorithmic bias and data-related bias: the optimisation function maximises revenue with no fairness constraint, and the training data encodes the historical relationship between location, device ownership, and purchasing power. The B dimension identifies this as a systematic error — not random variance — meaning it reproduces consistently and worsens at scale unless the objective function is redesigned.</w:t>
            </w:r>
          </w:p>
          <w:p>
            <w:pPr>
              <w:spacing w:before="60" w:after="60"/>
            </w:pPr>
            <w:r>
              <w:rPr>
                <w:rFonts w:ascii="Arial" w:cs="Arial" w:eastAsia="Arial" w:hAnsi="Arial"/>
                <w:color w:val="2C2C2C"/>
                <w:sz w:val="20"/>
                <w:szCs w:val="20"/>
              </w:rPr>
              <w:t xml:space="preserve">The error concealment sub-dimension is equally critical: pricing personalisation is not disclosed to users on any of the affected platforms, so there is no feedback loop through which affected customers can identify or challenge unfair pricing. Consumers experiencing this bias have no visibility into the AI's inputs and no mechanism to contest outcomes. For BNPL-integrated platforms, the concealment problem is compounded by secondary use: consumers whose shopping data is feeding credit models are rarely informed that this is happening.</w:t>
            </w:r>
          </w:p>
          <w:p>
            <w:pPr>
              <w:spacing w:before="140" w:after="60"/>
            </w:pPr>
            <w:r>
              <w:rPr>
                <w:rFonts w:ascii="Arial" w:cs="Arial" w:eastAsia="Arial" w:hAnsi="Arial"/>
                <w:b/>
                <w:bCs/>
                <w:color w:val="2C2C2C"/>
                <w:sz w:val="22"/>
                <w:szCs w:val="22"/>
              </w:rPr>
              <w:t xml:space="preserve">Case 2: Visual AI and search ranking bias</w:t>
            </w:r>
          </w:p>
          <w:p>
            <w:pPr>
              <w:spacing w:before="60" w:after="60"/>
            </w:pPr>
            <w:r>
              <w:rPr>
                <w:rFonts w:ascii="Arial" w:cs="Arial" w:eastAsia="Arial" w:hAnsi="Arial"/>
                <w:color w:val="2C2C2C"/>
                <w:sz w:val="20"/>
                <w:szCs w:val="20"/>
              </w:rPr>
              <w:t xml:space="preserve">The virtual try-on and size recommendation failures are textbook data-related and contextual errors: training data underrepresents certain demographic groups, so model performance is systematically lower for those groups. The B dimension highlights that the jagged frontier of AI capability is not experienced equally. For some customers these tools work well enough to influence purchase decisions; for others, they are unreliable in ways that go undetected by aggregate accuracy metrics. Retail teams evaluating these tools internally will typically test them on the majority demographic, missing the performance gap until it surfaces as elevated return rates.</w:t>
            </w:r>
          </w:p>
          <w:p>
            <w:pPr>
              <w:spacing w:before="60" w:after="60"/>
            </w:pPr>
            <w:r>
              <w:rPr>
                <w:rFonts w:ascii="Arial" w:cs="Arial" w:eastAsia="Arial" w:hAnsi="Arial"/>
                <w:color w:val="2C2C2C"/>
                <w:sz w:val="20"/>
                <w:szCs w:val="20"/>
              </w:rPr>
              <w:t xml:space="preserve">Search ranking bias on general marketplaces introduces a different sub-type: algorithmic bias embedded in the objective function. When ranking algorithms optimise for click-through and conversion rates derived predominantly from one demographic's behaviour, they structurally disadvantage sellers whose products appeal to underrepresented groups — not because of explicit discrimination, but because the optimisation signal itself is demographically skewed. This is a user interaction bias that compounds: the majority demographic's engagement reinforces the ranking, which reduces exposure for minority-appeal products, which further reduces their engagement signal.</w:t>
            </w:r>
          </w:p>
          <w:p>
            <w:pPr>
              <w:spacing w:before="140" w:after="60"/>
            </w:pPr>
            <w:r>
              <w:rPr>
                <w:rFonts w:ascii="Arial" w:cs="Arial" w:eastAsia="Arial" w:hAnsi="Arial"/>
                <w:b/>
                <w:bCs/>
                <w:color w:val="2C2C2C"/>
                <w:sz w:val="22"/>
                <w:szCs w:val="22"/>
              </w:rPr>
              <w:t xml:space="preserve">Case 3: Algorithmic redlining in delivery</w:t>
            </w:r>
          </w:p>
          <w:p>
            <w:pPr>
              <w:spacing w:before="60" w:after="60"/>
            </w:pPr>
            <w:r>
              <w:rPr>
                <w:rFonts w:ascii="Arial" w:cs="Arial" w:eastAsia="Arial" w:hAnsi="Arial"/>
                <w:color w:val="2C2C2C"/>
                <w:sz w:val="20"/>
                <w:szCs w:val="20"/>
              </w:rPr>
              <w:t xml:space="preserve">Grocery and quick commerce delivery zone bias represents the most structurally embedded form of bias in the B dimension: a data-related bias that is self-reinforcing through feedback loops. The AI model learns from historical order data shaped by prior exclusion, reproduces that exclusion in its zone definitions, and thereby generates future data that will again justify exclusion. This is what the course framework describes as error concealment at a systemic level — the platform's aggregate metrics (overall delivery coverage, average order fulfilment rates) will look acceptable while the disaggregated picture reveals systematic geographic discrimination.</w:t>
            </w:r>
          </w:p>
          <w:p>
            <w:pPr>
              <w:spacing w:before="60" w:after="60"/>
            </w:pPr>
            <w:r>
              <w:rPr>
                <w:rFonts w:ascii="Arial" w:cs="Arial" w:eastAsia="Arial" w:hAnsi="Arial"/>
                <w:color w:val="2C2C2C"/>
                <w:sz w:val="20"/>
                <w:szCs w:val="20"/>
              </w:rPr>
              <w:t xml:space="preserve">This case is particularly relevant for multi-category general platforms (Amazon Fresh, Walmart+) and quick commerce players, where the delivery zone AI interfaces with inventory allocation AI, meaning a customer who is included in a delivery zone may still receive a structurally different product assortment than wealthier neighbourhoods. The B dimension connects this to user interaction bias: customers in affected areas may not recognise the AI as the source of their limited options, attributing the outcome to their own choices rather than to algorithmic gatekeeping.</w:t>
            </w:r>
          </w:p>
          <w:p>
            <w:pPr>
              <w:spacing w:before="60" w:after="40"/>
            </w:pPr>
            <w:r>
              <w:t xml:space="preserve"/>
            </w:r>
          </w:p>
        </w:tc>
      </w:tr>
    </w:tbl>
    <w:p>
      <w:pPr>
        <w:spacing w:before="60" w:after="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none" w:color="FFFFFF" w:sz="0"/>
              <w:left w:val="none" w:color="FFFFFF" w:sz="0"/>
              <w:bottom w:val="none" w:color="FFFFFF" w:sz="0"/>
              <w:right w:val="none" w:color="FFFFFF" w:sz="0"/>
            </w:tcBorders>
            <w:shd w:fill="E8705A" w:val="clear"/>
            <w:tcMar>
              <w:top w:type="dxa" w:w="160"/>
              <w:left w:type="dxa" w:w="200"/>
              <w:bottom w:type="dxa" w:w="160"/>
              <w:right w:type="dxa" w:w="200"/>
            </w:tcMar>
          </w:tcPr>
          <w:p>
            <w:r>
              <w:rPr>
                <w:rFonts w:ascii="Arial" w:cs="Arial" w:eastAsia="Arial" w:hAnsi="Arial"/>
                <w:b/>
                <w:bCs/>
                <w:color w:val="FFFFFF"/>
                <w:sz w:val="26"/>
                <w:szCs w:val="26"/>
              </w:rPr>
              <w:t xml:space="preserve">Mitigation Strategies</w:t>
            </w:r>
          </w:p>
        </w:tc>
      </w:tr>
      <w:tr>
        <w:tc>
          <w:tcPr>
            <w:tcBorders>
              <w:top w:val="none" w:color="FFFFFF" w:sz="0"/>
              <w:left w:val="none" w:color="FFFFFF" w:sz="0"/>
              <w:bottom w:val="none" w:color="FFFFFF" w:sz="0"/>
              <w:right w:val="none" w:color="FFFFFF" w:sz="0"/>
            </w:tcBorders>
            <w:shd w:fill="FDECEA" w:val="clear"/>
            <w:tcMar>
              <w:top w:type="dxa" w:w="120"/>
              <w:left w:type="dxa" w:w="200"/>
              <w:bottom w:type="dxa" w:w="120"/>
              <w:right w:type="dxa" w:w="200"/>
            </w:tcMar>
          </w:tcPr>
          <w:p>
            <w:pPr>
              <w:spacing w:before="80" w:after="40"/>
            </w:pPr>
            <w:r>
              <w:t xml:space="preserve"/>
            </w:r>
          </w:p>
          <w:p>
            <w:pPr>
              <w:spacing w:before="140" w:after="60"/>
            </w:pPr>
            <w:r>
              <w:rPr>
                <w:rFonts w:ascii="Arial" w:cs="Arial" w:eastAsia="Arial" w:hAnsi="Arial"/>
                <w:b/>
                <w:bCs/>
                <w:color w:val="2C2C2C"/>
                <w:sz w:val="22"/>
                <w:szCs w:val="22"/>
              </w:rPr>
              <w:t xml:space="preserve">Audit &amp; measurement</w:t>
            </w:r>
          </w:p>
          <w:p>
            <w:pPr>
              <w:pStyle w:val="ListParagraph"/>
              <w:numPr>
                <w:ilvl w:val="0"/>
                <w:numId w:val="3"/>
              </w:numPr>
              <w:spacing w:before="50" w:after="50"/>
            </w:pPr>
            <w:r>
              <w:rPr>
                <w:rFonts w:ascii="Arial" w:cs="Arial" w:eastAsia="Arial" w:hAnsi="Arial"/>
                <w:color w:val="2C2C2C"/>
                <w:sz w:val="20"/>
                <w:szCs w:val="20"/>
              </w:rPr>
              <w:t xml:space="preserve">Conduct pre-deployment and ongoing algorithmic audits disaggregated by demographic group — overall accuracy metrics are insufficient; performance must be evaluated separately for age, gender, skin tone, geography, income proxy, and body type across all platform types</w:t>
            </w:r>
          </w:p>
          <w:p>
            <w:pPr>
              <w:pStyle w:val="ListParagraph"/>
              <w:numPr>
                <w:ilvl w:val="0"/>
                <w:numId w:val="3"/>
              </w:numPr>
              <w:spacing w:before="50" w:after="50"/>
            </w:pPr>
            <w:r>
              <w:rPr>
                <w:rFonts w:ascii="Arial" w:cs="Arial" w:eastAsia="Arial" w:hAnsi="Arial"/>
                <w:color w:val="2C2C2C"/>
                <w:sz w:val="20"/>
                <w:szCs w:val="20"/>
              </w:rPr>
              <w:t xml:space="preserve">For general marketplaces and social commerce platforms: commission independent third-party audits of search ranking and recommendation algorithms, specifically testing for demographic concentration in exposed audiences and seller visibility gaps by geography</w:t>
            </w:r>
          </w:p>
          <w:p>
            <w:pPr>
              <w:pStyle w:val="ListParagraph"/>
              <w:numPr>
                <w:ilvl w:val="0"/>
                <w:numId w:val="3"/>
              </w:numPr>
              <w:spacing w:before="50" w:after="50"/>
            </w:pPr>
            <w:r>
              <w:rPr>
                <w:rFonts w:ascii="Arial" w:cs="Arial" w:eastAsia="Arial" w:hAnsi="Arial"/>
                <w:color w:val="2C2C2C"/>
                <w:sz w:val="20"/>
                <w:szCs w:val="20"/>
              </w:rPr>
              <w:t xml:space="preserve">For grocery and quick commerce platforms: map delivery zone boundaries against census-level income and racial composition data before deployment, and repeat quarterly as zone definitions are updated by AI models</w:t>
            </w:r>
          </w:p>
          <w:p>
            <w:pPr>
              <w:pStyle w:val="ListParagraph"/>
              <w:numPr>
                <w:ilvl w:val="0"/>
                <w:numId w:val="3"/>
              </w:numPr>
              <w:spacing w:before="50" w:after="50"/>
            </w:pPr>
            <w:r>
              <w:rPr>
                <w:rFonts w:ascii="Arial" w:cs="Arial" w:eastAsia="Arial" w:hAnsi="Arial"/>
                <w:color w:val="2C2C2C"/>
                <w:sz w:val="20"/>
                <w:szCs w:val="20"/>
              </w:rPr>
              <w:t xml:space="preserve">Apply the severity x detectability matrix to prioritise remediation: dynamic pricing bias and delivery redlining are both high-severity and low-detectability (for consumers), making them category-1 priorities</w:t>
            </w:r>
          </w:p>
          <w:p>
            <w:pPr>
              <w:spacing w:before="140" w:after="60"/>
            </w:pPr>
            <w:r>
              <w:rPr>
                <w:rFonts w:ascii="Arial" w:cs="Arial" w:eastAsia="Arial" w:hAnsi="Arial"/>
                <w:b/>
                <w:bCs/>
                <w:color w:val="2C2C2C"/>
                <w:sz w:val="22"/>
                <w:szCs w:val="22"/>
              </w:rPr>
              <w:t xml:space="preserve">Model &amp; data design</w:t>
            </w:r>
          </w:p>
          <w:p>
            <w:pPr>
              <w:pStyle w:val="ListParagraph"/>
              <w:numPr>
                <w:ilvl w:val="0"/>
                <w:numId w:val="3"/>
              </w:numPr>
              <w:spacing w:before="50" w:after="50"/>
            </w:pPr>
            <w:r>
              <w:rPr>
                <w:rFonts w:ascii="Arial" w:cs="Arial" w:eastAsia="Arial" w:hAnsi="Arial"/>
                <w:color w:val="2C2C2C"/>
                <w:sz w:val="20"/>
                <w:szCs w:val="20"/>
              </w:rPr>
              <w:t xml:space="preserve">Implement proxy variable detection as a standard step in feature engineering: systematically test whether input variables (ZIP code, device, browsing history, purchase frequency, delivery address) correlate with protected characteristics before including them in pricing, personalisation, or credit models</w:t>
            </w:r>
          </w:p>
          <w:p>
            <w:pPr>
              <w:pStyle w:val="ListParagraph"/>
              <w:numPr>
                <w:ilvl w:val="0"/>
                <w:numId w:val="3"/>
              </w:numPr>
              <w:spacing w:before="50" w:after="50"/>
            </w:pPr>
            <w:r>
              <w:rPr>
                <w:rFonts w:ascii="Arial" w:cs="Arial" w:eastAsia="Arial" w:hAnsi="Arial"/>
                <w:color w:val="2C2C2C"/>
                <w:sz w:val="20"/>
                <w:szCs w:val="20"/>
              </w:rPr>
              <w:t xml:space="preserve">For visual AI tools (try-on, shade matching, size recommendation, recommerce condition assessment): require training datasets that meet documented diversity thresholds across skin tone, body type, and regional anthropometric standards — and conduct external red-teaming before deployment</w:t>
            </w:r>
          </w:p>
          <w:p>
            <w:pPr>
              <w:pStyle w:val="ListParagraph"/>
              <w:numPr>
                <w:ilvl w:val="0"/>
                <w:numId w:val="3"/>
              </w:numPr>
              <w:spacing w:before="50" w:after="50"/>
            </w:pPr>
            <w:r>
              <w:rPr>
                <w:rFonts w:ascii="Arial" w:cs="Arial" w:eastAsia="Arial" w:hAnsi="Arial"/>
                <w:color w:val="2C2C2C"/>
                <w:sz w:val="20"/>
                <w:szCs w:val="20"/>
              </w:rPr>
              <w:t xml:space="preserve">For cross-border platforms expanding into new geographies (Temu entering Europe, Amazon expanding in Southeast Asia): require market-specific model recalibration rather than direct transfer of models trained on source-market data</w:t>
            </w:r>
          </w:p>
          <w:p>
            <w:pPr>
              <w:pStyle w:val="ListParagraph"/>
              <w:numPr>
                <w:ilvl w:val="0"/>
                <w:numId w:val="3"/>
              </w:numPr>
              <w:spacing w:before="50" w:after="50"/>
            </w:pPr>
            <w:r>
              <w:rPr>
                <w:rFonts w:ascii="Arial" w:cs="Arial" w:eastAsia="Arial" w:hAnsi="Arial"/>
                <w:color w:val="2C2C2C"/>
                <w:sz w:val="20"/>
                <w:szCs w:val="20"/>
              </w:rPr>
              <w:t xml:space="preserve">For recommendation and search ranking algorithms on social commerce and general marketplace platforms: introduce fairness constraints into the objective function alongside revenue metrics, explicitly penalising demographic concentration in exposed audiences</w:t>
            </w:r>
          </w:p>
          <w:p>
            <w:pPr>
              <w:pStyle w:val="ListParagraph"/>
              <w:numPr>
                <w:ilvl w:val="0"/>
                <w:numId w:val="3"/>
              </w:numPr>
              <w:spacing w:before="50" w:after="50"/>
            </w:pPr>
            <w:r>
              <w:rPr>
                <w:rFonts w:ascii="Arial" w:cs="Arial" w:eastAsia="Arial" w:hAnsi="Arial"/>
                <w:color w:val="2C2C2C"/>
                <w:sz w:val="20"/>
                <w:szCs w:val="20"/>
              </w:rPr>
              <w:t xml:space="preserve">For BNPL and credit-adjacent AI: conduct disparity impact assessments for all behavioural signals used in credit proxies, testing for differential approval rates across demographic groups before deployment</w:t>
            </w:r>
          </w:p>
          <w:p>
            <w:pPr>
              <w:spacing w:before="140" w:after="60"/>
            </w:pPr>
            <w:r>
              <w:rPr>
                <w:rFonts w:ascii="Arial" w:cs="Arial" w:eastAsia="Arial" w:hAnsi="Arial"/>
                <w:b/>
                <w:bCs/>
                <w:color w:val="2C2C2C"/>
                <w:sz w:val="22"/>
                <w:szCs w:val="22"/>
              </w:rPr>
              <w:t xml:space="preserve">Transparency &amp; feedback</w:t>
            </w:r>
          </w:p>
          <w:p>
            <w:pPr>
              <w:pStyle w:val="ListParagraph"/>
              <w:numPr>
                <w:ilvl w:val="0"/>
                <w:numId w:val="3"/>
              </w:numPr>
              <w:spacing w:before="50" w:after="50"/>
            </w:pPr>
            <w:r>
              <w:rPr>
                <w:rFonts w:ascii="Arial" w:cs="Arial" w:eastAsia="Arial" w:hAnsi="Arial"/>
                <w:color w:val="2C2C2C"/>
                <w:sz w:val="20"/>
                <w:szCs w:val="20"/>
              </w:rPr>
              <w:t xml:space="preserve">Establish a bias incident register — a formal process to log, investigate, and publicly report on identified bias events, covering all platform types and geographies in which the organisation operates</w:t>
            </w:r>
          </w:p>
          <w:p>
            <w:pPr>
              <w:pStyle w:val="ListParagraph"/>
              <w:numPr>
                <w:ilvl w:val="0"/>
                <w:numId w:val="3"/>
              </w:numPr>
              <w:spacing w:before="50" w:after="50"/>
            </w:pPr>
            <w:r>
              <w:rPr>
                <w:rFonts w:ascii="Arial" w:cs="Arial" w:eastAsia="Arial" w:hAnsi="Arial"/>
                <w:color w:val="2C2C2C"/>
                <w:sz w:val="20"/>
                <w:szCs w:val="20"/>
              </w:rPr>
              <w:t xml:space="preserve">Introduce a bias bounty programme inviting customers, sellers, and delivery partners to flag perceived AI unfairness, with a defined response SLA — converting the user interaction layer from a source of concealment into a feedback mechanism</w:t>
            </w:r>
          </w:p>
          <w:p>
            <w:pPr>
              <w:pStyle w:val="ListParagraph"/>
              <w:numPr>
                <w:ilvl w:val="0"/>
                <w:numId w:val="3"/>
              </w:numPr>
              <w:spacing w:before="50" w:after="50"/>
            </w:pPr>
            <w:r>
              <w:rPr>
                <w:rFonts w:ascii="Arial" w:cs="Arial" w:eastAsia="Arial" w:hAnsi="Arial"/>
                <w:color w:val="2C2C2C"/>
                <w:sz w:val="20"/>
                <w:szCs w:val="20"/>
              </w:rPr>
              <w:t xml:space="preserve">For marketplace sellers: provide transparent, disaggregated visibility metrics so sellers can identify if their products are receiving structurally lower exposure relative to comparable listings — and establish an appeal mechanism for suspected algorithmic disadvantage</w:t>
            </w:r>
          </w:p>
          <w:p>
            <w:pPr>
              <w:pStyle w:val="ListParagraph"/>
              <w:numPr>
                <w:ilvl w:val="0"/>
                <w:numId w:val="3"/>
              </w:numPr>
              <w:spacing w:before="50" w:after="50"/>
            </w:pPr>
            <w:r>
              <w:rPr>
                <w:rFonts w:ascii="Arial" w:cs="Arial" w:eastAsia="Arial" w:hAnsi="Arial"/>
                <w:color w:val="2C2C2C"/>
                <w:sz w:val="20"/>
                <w:szCs w:val="20"/>
              </w:rPr>
              <w:t xml:space="preserve">Disaggregate model performance reporting in internal AI governance dashboards; require sign-off from a cross-functional ethics review before deploying any customer-facing AI system or expanding an existing one to a new geography or product category</w:t>
            </w:r>
          </w:p>
          <w:p>
            <w:pPr>
              <w:spacing w:before="60" w:after="40"/>
            </w:pPr>
            <w:r>
              <w:t xml:space="preserve"/>
            </w:r>
          </w:p>
        </w:tc>
      </w:tr>
    </w:tbl>
    <w:p>
      <w:pPr>
        <w:spacing w:before="60" w:after="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none" w:color="FFFFFF" w:sz="0"/>
              <w:left w:val="none" w:color="FFFFFF" w:sz="0"/>
              <w:bottom w:val="none" w:color="FFFFFF" w:sz="0"/>
              <w:right w:val="none" w:color="FFFFFF" w:sz="0"/>
            </w:tcBorders>
            <w:shd w:fill="2E9B8A" w:val="clear"/>
            <w:tcMar>
              <w:top w:type="dxa" w:w="160"/>
              <w:left w:type="dxa" w:w="200"/>
              <w:bottom w:type="dxa" w:w="160"/>
              <w:right w:type="dxa" w:w="200"/>
            </w:tcMar>
          </w:tcPr>
          <w:p>
            <w:r>
              <w:rPr>
                <w:rFonts w:ascii="Arial" w:cs="Arial" w:eastAsia="Arial" w:hAnsi="Arial"/>
                <w:b/>
                <w:bCs/>
                <w:color w:val="FFFFFF"/>
                <w:sz w:val="26"/>
                <w:szCs w:val="26"/>
              </w:rPr>
              <w:t xml:space="preserve">R2: Objectivity, Inclusiveness &amp; Precision of Analysis</w:t>
            </w:r>
          </w:p>
        </w:tc>
      </w:tr>
      <w:tr>
        <w:tc>
          <w:tcPr>
            <w:tcBorders>
              <w:top w:val="none" w:color="FFFFFF" w:sz="0"/>
              <w:left w:val="none" w:color="FFFFFF" w:sz="0"/>
              <w:bottom w:val="none" w:color="FFFFFF" w:sz="0"/>
              <w:right w:val="none" w:color="FFFFFF" w:sz="0"/>
            </w:tcBorders>
            <w:shd w:fill="E6F4F2" w:val="clear"/>
            <w:tcMar>
              <w:top w:type="dxa" w:w="120"/>
              <w:left w:type="dxa" w:w="200"/>
              <w:bottom w:type="dxa" w:w="120"/>
              <w:right w:type="dxa" w:w="200"/>
            </w:tcMar>
          </w:tcPr>
          <w:p>
            <w:pPr>
              <w:spacing w:before="80" w:after="40"/>
            </w:pPr>
            <w:r>
              <w:t xml:space="preserve"/>
            </w:r>
          </w:p>
          <w:p>
            <w:pPr>
              <w:spacing w:before="60" w:after="60"/>
            </w:pPr>
            <w:r>
              <w:rPr>
                <w:rFonts w:ascii="Arial" w:cs="Arial" w:eastAsia="Arial" w:hAnsi="Arial"/>
                <w:color w:val="2C2C2C"/>
                <w:sz w:val="20"/>
                <w:szCs w:val="20"/>
              </w:rPr>
              <w:t xml:space="preserve">When designed and deployed responsibly, retail AI can actively reduce the human biases that have historically shaped product availability, pricing, customer service quality, and hiring — replacing inconsistent human judgment with more measurable, auditable processes. The goal is not to remove human judgment but to make it more consistent and its failures more visible.</w:t>
            </w:r>
          </w:p>
          <w:p>
            <w:pPr>
              <w:spacing w:before="60" w:after="20"/>
            </w:pPr>
            <w:r>
              <w:t xml:space="preserve"/>
            </w:r>
          </w:p>
          <w:p>
            <w:pPr>
              <w:spacing w:before="140" w:after="60"/>
            </w:pPr>
            <w:r>
              <w:rPr>
                <w:rFonts w:ascii="Arial" w:cs="Arial" w:eastAsia="Arial" w:hAnsi="Arial"/>
                <w:b/>
                <w:bCs/>
                <w:color w:val="2C2C2C"/>
                <w:sz w:val="22"/>
                <w:szCs w:val="22"/>
              </w:rPr>
              <w:t xml:space="preserve">Removing human bias from decisions</w:t>
            </w:r>
          </w:p>
          <w:p>
            <w:pPr>
              <w:pStyle w:val="ListParagraph"/>
              <w:numPr>
                <w:ilvl w:val="0"/>
                <w:numId w:val="3"/>
              </w:numPr>
              <w:spacing w:before="50" w:after="50"/>
            </w:pPr>
            <w:r>
              <w:rPr>
                <w:rFonts w:ascii="Arial" w:cs="Arial" w:eastAsia="Arial" w:hAnsi="Arial"/>
                <w:color w:val="2C2C2C"/>
                <w:sz w:val="20"/>
                <w:szCs w:val="20"/>
              </w:rPr>
              <w:t xml:space="preserve">AI-powered fraud detection systems apply consistent rules across all customers, reducing the racial profiling documented in human loss-prevention practices — flagging suspicious transactions based on behavioural signals rather than demographic characteristics</w:t>
            </w:r>
          </w:p>
          <w:p>
            <w:pPr>
              <w:pStyle w:val="ListParagraph"/>
              <w:numPr>
                <w:ilvl w:val="0"/>
                <w:numId w:val="3"/>
              </w:numPr>
              <w:spacing w:before="50" w:after="50"/>
            </w:pPr>
            <w:r>
              <w:rPr>
                <w:rFonts w:ascii="Arial" w:cs="Arial" w:eastAsia="Arial" w:hAnsi="Arial"/>
                <w:color w:val="2C2C2C"/>
                <w:sz w:val="20"/>
                <w:szCs w:val="20"/>
              </w:rPr>
              <w:t xml:space="preserve">Blind application screening tools that strip identifying information before AI evaluation can reduce demographic bias in retail and warehouse hiring, making recruitment more consistently merit-based across general retailers, fulfilment centres, and platform operations teams</w:t>
            </w:r>
          </w:p>
          <w:p>
            <w:pPr>
              <w:pStyle w:val="ListParagraph"/>
              <w:numPr>
                <w:ilvl w:val="0"/>
                <w:numId w:val="3"/>
              </w:numPr>
              <w:spacing w:before="50" w:after="50"/>
            </w:pPr>
            <w:r>
              <w:rPr>
                <w:rFonts w:ascii="Arial" w:cs="Arial" w:eastAsia="Arial" w:hAnsi="Arial"/>
                <w:color w:val="2C2C2C"/>
                <w:sz w:val="20"/>
                <w:szCs w:val="20"/>
              </w:rPr>
              <w:t xml:space="preserve">Automated returns processing that applies consistent criteria across all customers removes the documented human tendency to apply stricter scrutiny to returns from customers who are demographically different from front-line staff</w:t>
            </w:r>
          </w:p>
          <w:p>
            <w:pPr>
              <w:spacing w:before="140" w:after="60"/>
            </w:pPr>
            <w:r>
              <w:rPr>
                <w:rFonts w:ascii="Arial" w:cs="Arial" w:eastAsia="Arial" w:hAnsi="Arial"/>
                <w:b/>
                <w:bCs/>
                <w:color w:val="2C2C2C"/>
                <w:sz w:val="22"/>
                <w:szCs w:val="22"/>
              </w:rPr>
              <w:t xml:space="preserve">Expanding access and representation</w:t>
            </w:r>
          </w:p>
          <w:p>
            <w:pPr>
              <w:pStyle w:val="ListParagraph"/>
              <w:numPr>
                <w:ilvl w:val="0"/>
                <w:numId w:val="3"/>
              </w:numPr>
              <w:spacing w:before="50" w:after="50"/>
            </w:pPr>
            <w:r>
              <w:rPr>
                <w:rFonts w:ascii="Arial" w:cs="Arial" w:eastAsia="Arial" w:hAnsi="Arial"/>
                <w:color w:val="2C2C2C"/>
                <w:sz w:val="20"/>
                <w:szCs w:val="20"/>
              </w:rPr>
              <w:t xml:space="preserve">Fit and size recommendation AI, when trained on diverse datasets, can surface better-matched products for underrepresented body types — reducing return rates, improving satisfaction, and increasing accessibility for shoppers historically underserved by standard sizing on fashion platforms</w:t>
            </w:r>
          </w:p>
          <w:p>
            <w:pPr>
              <w:pStyle w:val="ListParagraph"/>
              <w:numPr>
                <w:ilvl w:val="0"/>
                <w:numId w:val="3"/>
              </w:numPr>
              <w:spacing w:before="50" w:after="50"/>
            </w:pPr>
            <w:r>
              <w:rPr>
                <w:rFonts w:ascii="Arial" w:cs="Arial" w:eastAsia="Arial" w:hAnsi="Arial"/>
                <w:color w:val="2C2C2C"/>
                <w:sz w:val="20"/>
                <w:szCs w:val="20"/>
              </w:rPr>
              <w:t xml:space="preserve">For grocery and quick commerce platforms: demand forecasting AI can be used proactively to identify underserved delivery zones with latent demand that current models miss, building the business case for expanding equitable coverage rather than optimising only existing patterns</w:t>
            </w:r>
          </w:p>
          <w:p>
            <w:pPr>
              <w:pStyle w:val="ListParagraph"/>
              <w:numPr>
                <w:ilvl w:val="0"/>
                <w:numId w:val="3"/>
              </w:numPr>
              <w:spacing w:before="50" w:after="50"/>
            </w:pPr>
            <w:r>
              <w:rPr>
                <w:rFonts w:ascii="Arial" w:cs="Arial" w:eastAsia="Arial" w:hAnsi="Arial"/>
                <w:color w:val="2C2C2C"/>
                <w:sz w:val="20"/>
                <w:szCs w:val="20"/>
              </w:rPr>
              <w:t xml:space="preserve">Cross-border platforms (Temu, eBay, Etsy) using AI translation, localisation, and logistics optimisation can meaningfully expand market access for sellers in the Global South — democratising distribution in ways that were previously unavailable to small producers without export infrastructure</w:t>
            </w:r>
          </w:p>
          <w:p>
            <w:pPr>
              <w:spacing w:before="140" w:after="60"/>
            </w:pPr>
            <w:r>
              <w:rPr>
                <w:rFonts w:ascii="Arial" w:cs="Arial" w:eastAsia="Arial" w:hAnsi="Arial"/>
                <w:b/>
                <w:bCs/>
                <w:color w:val="2C2C2C"/>
                <w:sz w:val="22"/>
                <w:szCs w:val="22"/>
              </w:rPr>
              <w:t xml:space="preserve">Making systems more transparent and auditable</w:t>
            </w:r>
          </w:p>
          <w:p>
            <w:pPr>
              <w:pStyle w:val="ListParagraph"/>
              <w:numPr>
                <w:ilvl w:val="0"/>
                <w:numId w:val="3"/>
              </w:numPr>
              <w:spacing w:before="50" w:after="50"/>
            </w:pPr>
            <w:r>
              <w:rPr>
                <w:rFonts w:ascii="Arial" w:cs="Arial" w:eastAsia="Arial" w:hAnsi="Arial"/>
                <w:color w:val="2C2C2C"/>
                <w:sz w:val="20"/>
                <w:szCs w:val="20"/>
              </w:rPr>
              <w:t xml:space="preserve">Transparent, explainable personalisation that shows customers why a product was recommended ('Because you browsed X') shifts the dynamic from opaque profiling to assisted discovery — and creates a natural feedback mechanism for customers to identify when recommendations feel demographically inappropriate</w:t>
            </w:r>
          </w:p>
          <w:p>
            <w:pPr>
              <w:pStyle w:val="ListParagraph"/>
              <w:numPr>
                <w:ilvl w:val="0"/>
                <w:numId w:val="3"/>
              </w:numPr>
              <w:spacing w:before="50" w:after="50"/>
            </w:pPr>
            <w:r>
              <w:rPr>
                <w:rFonts w:ascii="Arial" w:cs="Arial" w:eastAsia="Arial" w:hAnsi="Arial"/>
                <w:color w:val="2C2C2C"/>
                <w:sz w:val="20"/>
                <w:szCs w:val="20"/>
              </w:rPr>
              <w:t xml:space="preserve">AI-generated demand and performance dashboards for marketplace sellers, when designed with disaggregated metrics, can surface visibility disparities faster than manual auditing — turning the same algorithmic infrastructure that creates bias risk into a tool for detecting and correcting it</w:t>
            </w:r>
          </w:p>
          <w:p>
            <w:pPr>
              <w:pStyle w:val="ListParagraph"/>
              <w:numPr>
                <w:ilvl w:val="0"/>
                <w:numId w:val="3"/>
              </w:numPr>
              <w:spacing w:before="50" w:after="50"/>
            </w:pPr>
            <w:r>
              <w:rPr>
                <w:rFonts w:ascii="Arial" w:cs="Arial" w:eastAsia="Arial" w:hAnsi="Arial"/>
                <w:color w:val="2C2C2C"/>
                <w:sz w:val="20"/>
                <w:szCs w:val="20"/>
              </w:rPr>
              <w:t xml:space="preserve">Privacy-preserving personalisation techniques (federated learning, differential privacy) can deliver relevant recommendations across diverse platforms without centralising sensitive demographic data — reducing both the bias risk and the surveillance risk simultaneously</w:t>
            </w:r>
          </w:p>
          <w:p>
            <w:pPr>
              <w:spacing w:before="60" w:after="40"/>
            </w:pPr>
            <w:r>
              <w:t xml:space="preserve"/>
            </w:r>
          </w:p>
        </w:tc>
      </w:tr>
    </w:tbl>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360"/>
      </w:pPr>
    </w:lvl>
  </w:abstractNum>
  <w:abstractNum w:abstractNumId="3" w15:restartNumberingAfterBreak="0">
    <w:multiLevelType w:val="hybridMultilevel"/>
    <w:lvl w:ilvl="0" w15:tentative="1">
      <w:start w:val="1"/>
      <w:numFmt w:val="bullet"/>
      <w:lvlText w:val="✓"/>
      <w:lvlJc w:val="left"/>
      <w:pPr>
        <w:ind w:left="56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C2C2C"/>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2026-03-19T15:59:32.164Z</dcterms:created>
  <dcterms:modified xsi:type="dcterms:W3CDTF">2026-03-19T15:59:32.165Z</dcterms:modified>
</cp:coreProperties>
</file>

<file path=docProps/custom.xml><?xml version="1.0" encoding="utf-8"?>
<Properties xmlns="http://schemas.openxmlformats.org/officeDocument/2006/custom-properties" xmlns:vt="http://schemas.openxmlformats.org/officeDocument/2006/docPropsVTypes"/>
</file>