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3.odttf" ContentType="application/vnd.openxmlformats-officedocument.obfuscatedFont"/>
  <Override PartName="/word/fonts/font2.odttf" ContentType="application/vnd.openxmlformats-officedocument.obfuscatedFont"/>
  <Override PartName="/word/fonts/font1.odttf" ContentType="application/vnd.openxmlformats-officedocument.obfuscatedFont"/>
  <Override PartName="/word/fonts/font16.odttf" ContentType="application/vnd.openxmlformats-officedocument.obfuscatedFont"/>
  <Override PartName="/word/fonts/font29.odttf" ContentType="application/vnd.openxmlformats-officedocument.obfuscatedFont"/>
  <Override PartName="/word/fonts/font17.odttf" ContentType="application/vnd.openxmlformats-officedocument.obfuscatedFont"/>
  <Override PartName="/word/fonts/font28.odttf" ContentType="application/vnd.openxmlformats-officedocument.obfuscatedFont"/>
  <Override PartName="/word/fonts/font27.odttf" ContentType="application/vnd.openxmlformats-officedocument.obfuscatedFont"/>
  <Override PartName="/word/fonts/font26.odttf" ContentType="application/vnd.openxmlformats-officedocument.obfuscatedFont"/>
  <Override PartName="/word/fonts/font25.odttf" ContentType="application/vnd.openxmlformats-officedocument.obfuscatedFont"/>
  <Override PartName="/word/fonts/font24.odttf" ContentType="application/vnd.openxmlformats-officedocument.obfuscatedFont"/>
  <Override PartName="/word/fonts/font23.odttf" ContentType="application/vnd.openxmlformats-officedocument.obfuscatedFont"/>
  <Override PartName="/word/fonts/font22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[doc_date]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[date]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b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en-US"/>
        </w:rPr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bCs/>
          <w:i/>
          <w:i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Cs/>
          <w:i/>
          <w:sz w:val="16"/>
          <w:szCs w:val="16"/>
          <w:lang w:val="en-US"/>
        </w:rPr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b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Через</w:t>
      </w:r>
      <w:r>
        <w:rPr>
          <w:rFonts w:eastAsia="Times New Roman" w:cs="Times New Roman"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ГКУ</w:t>
      </w:r>
      <w:r>
        <w:rPr>
          <w:rFonts w:eastAsia="Times New Roman" w:cs="Times New Roman" w:ascii="Times New Roman" w:hAnsi="Times New Roman"/>
          <w:b/>
          <w:sz w:val="24"/>
          <w:szCs w:val="24"/>
          <w:lang w:val="en-US"/>
        </w:rPr>
        <w:t xml:space="preserve"> «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АМПП</w:t>
      </w:r>
      <w:r>
        <w:rPr>
          <w:rFonts w:eastAsia="Times New Roman" w:cs="Times New Roman" w:ascii="Times New Roman" w:hAnsi="Times New Roman"/>
          <w:b/>
          <w:sz w:val="24"/>
          <w:szCs w:val="24"/>
          <w:lang w:val="en-US"/>
        </w:rPr>
        <w:t>»</w:t>
      </w:r>
    </w:p>
    <w:p>
      <w:pPr>
        <w:pStyle w:val="Normal"/>
        <w:spacing w:lineRule="auto" w:line="240" w:before="0" w:after="0"/>
        <w:ind w:left="382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ул. Скаковая, д. 19, г. Москва, 125040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  <w:vertAlign w:val="superscript"/>
        </w:rPr>
      </w:pPr>
      <w:r>
        <w:rPr>
          <w:rFonts w:eastAsia="Times New Roman" w:cs="Times New Roman" w:ascii="Times New Roman" w:hAnsi="Times New Roman"/>
          <w:sz w:val="24"/>
          <w:szCs w:val="24"/>
          <w:vertAlign w:val="superscript"/>
        </w:rPr>
      </w:r>
    </w:p>
    <w:p>
      <w:pPr>
        <w:pStyle w:val="Normal"/>
        <w:widowControl w:val="false"/>
        <w:spacing w:lineRule="auto" w:line="240"/>
        <w:ind w:left="38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Лицо, привлекаемое к административной ответственности </w:t>
      </w: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>(далее - Заявитель):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______________________________________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i/>
          <w:i/>
          <w:sz w:val="16"/>
          <w:szCs w:val="16"/>
        </w:rPr>
      </w:pP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ФИО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______________________________________</w:t>
      </w:r>
    </w:p>
    <w:p>
      <w:pPr>
        <w:pStyle w:val="Normal"/>
        <w:widowControl w:val="false"/>
        <w:spacing w:lineRule="auto" w:line="240" w:before="0" w:after="0"/>
        <w:ind w:left="38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                                                 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адрес</w:t>
      </w:r>
    </w:p>
    <w:p>
      <w:pPr>
        <w:pStyle w:val="Normal"/>
        <w:widowControl w:val="false"/>
        <w:spacing w:lineRule="auto" w:line="240" w:before="0" w:after="0"/>
        <w:ind w:left="43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ahoma" w:hAnsi="Tahoma" w:eastAsia="Tahoma" w:cs="Tahoma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</w:rPr>
        <w:t>[doc_date]</w:t>
      </w:r>
    </w:p>
    <w:p>
      <w:pPr>
        <w:pStyle w:val="Normal"/>
        <w:spacing w:lineRule="auto" w:line="240" w:before="0" w:after="0"/>
        <w:rPr>
          <w:rFonts w:ascii="Tahoma" w:hAnsi="Tahoma" w:eastAsia="Tahoma" w:cs="Tahoma"/>
          <w:b/>
          <w:sz w:val="24"/>
          <w:szCs w:val="24"/>
        </w:rPr>
      </w:pPr>
      <w:r>
        <w:rPr>
          <w:rFonts w:eastAsia="Tahoma" w:cs="Tahoma" w:ascii="Tahoma" w:hAnsi="Tahoma"/>
          <w:b/>
          <w:sz w:val="24"/>
          <w:szCs w:val="24"/>
        </w:rPr>
        <w:t>Жалоба на постановление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ahoma" w:cs="Tahoma" w:ascii="Tahoma" w:hAnsi="Tahoma"/>
          <w:b/>
          <w:sz w:val="24"/>
          <w:szCs w:val="24"/>
        </w:rPr>
        <w:t xml:space="preserve">об административном правонарушении </w:t>
      </w:r>
      <w:r>
        <w:rPr>
          <w:rFonts w:eastAsia="Tahoma" w:cs="Tahoma" w:ascii="Tahoma" w:hAnsi="Tahoma"/>
          <w:sz w:val="24"/>
          <w:szCs w:val="24"/>
        </w:rPr>
        <w:t xml:space="preserve">                                              </w:t>
      </w:r>
    </w:p>
    <w:p>
      <w:pPr>
        <w:pStyle w:val="Normal"/>
        <w:widowControl w:val="false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widowControl w:val="false"/>
        <w:spacing w:lineRule="auto" w:line="312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ГКУ «Администратор Московского парковочного пространства» в отношении Заявителя было вынесено постановление № [resolution_number] от [date] по делу об административном правонарушении (далее — </w:t>
      </w:r>
      <w:r>
        <w:rPr>
          <w:rFonts w:eastAsia="Times New Roman" w:cs="Times New Roman" w:ascii="Times New Roman" w:hAnsi="Times New Roman"/>
          <w:i/>
          <w:sz w:val="24"/>
          <w:szCs w:val="24"/>
        </w:rPr>
        <w:t>Постановление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), предусмотренного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ч. 2 ст. 8.14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КоАП г. Москвы, назначено наказание в виде штрафа. </w:t>
      </w:r>
    </w:p>
    <w:p>
      <w:pPr>
        <w:pStyle w:val="Normal"/>
        <w:widowControl w:val="false"/>
        <w:spacing w:lineRule="auto" w:line="312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312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Грубо нарушен порядок привлечения к административной ответственности: применялось средство фотосъемки АПК «ПаркНет-М», но протокол не составлялся. </w:t>
      </w:r>
    </w:p>
    <w:p>
      <w:pPr>
        <w:pStyle w:val="Normal"/>
        <w:widowControl w:val="false"/>
        <w:spacing w:lineRule="auto" w:line="312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widowControl w:val="false"/>
        <w:spacing w:lineRule="auto" w:line="312"/>
        <w:jc w:val="both"/>
        <w:rPr>
          <w:rFonts w:ascii="Tahoma" w:hAnsi="Tahoma" w:eastAsia="Tahoma" w:cs="Tahoma"/>
          <w:b/>
          <w:sz w:val="24"/>
          <w:szCs w:val="24"/>
        </w:rPr>
      </w:pPr>
      <w:r>
        <w:rPr>
          <w:rFonts w:eastAsia="Tahoma" w:cs="Tahoma" w:ascii="Tahoma" w:hAnsi="Tahoma"/>
          <w:b/>
          <w:sz w:val="24"/>
          <w:szCs w:val="24"/>
        </w:rPr>
        <w:t>Основания для отмены постановления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Нарушен порядок привлечения к административной ответственности - не составлялся протокол об административном правонарушении, хотя фотофиксация проводилась с помощью технических средств, которые не работали в автоматическом режиме.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Обеспечение законности при применении мер административного принуждения предполагает не только наличие законных оснований для применения административного наказания, но и соблюдение установленного законом порядка привлечения лица к административной ответственности (ч. 1 ст. 1.6 КоАП РФ).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Статьей 2.6.1, ч. 3 ст. 28.6 КоАП РФ установлен особый порядок привлечения к административной ответственности за административные правонарушения при их фиксации специальными техническими средствами, имеющими функции фото- и киносъемки, видеозаписи, либо работающими в автоматическом режиме средствами фото- и киносъемки, видеозаписи (п. 26 Постановления Пленума ВС РФ от 25.06.2019 № 20).</w:t>
      </w:r>
    </w:p>
    <w:p>
      <w:pPr>
        <w:pStyle w:val="Normal"/>
        <w:spacing w:lineRule="auto" w:line="312" w:before="200" w:after="6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При этом под автоматическим режимом следует понимать работу соответствующего технического средства:</w:t>
      </w:r>
    </w:p>
    <w:p>
      <w:pPr>
        <w:pStyle w:val="Normal"/>
        <w:spacing w:lineRule="auto" w:line="312" w:before="20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1) без какого-либо непосредственного воздействия на него человека;</w:t>
        <w:br/>
        <w:tab/>
        <w:t>2) когда такое средство размещено в установленном порядке в стационарном положении либо на движущемся по утвержденному маршруту транспортном средстве;</w:t>
      </w:r>
    </w:p>
    <w:p>
      <w:pPr>
        <w:pStyle w:val="Normal"/>
        <w:spacing w:lineRule="auto" w:line="312" w:before="0" w:after="6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3) осуществляет фиксацию в зоне своего обзора всех административных правонарушений, для выявления которых оно предназначено, независимо от усмотрения того или иного лица.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Планшет АПК «ПаркНет-М» по смыслу ч.3 ст. 28.6 КоАП РФ и ч.1 ст.2.6.1 КоАП РФ не является техническим средством, работающим в автоматическом режиме:</w:t>
        <w:br/>
        <w:tab/>
        <w:t>1) с учётом ракурсов фотосъёмки, отраженных в фотоматериалах, являющихся неотъемлемой частью постановления о привлечении к административной ответственности, можно сделать вывод о том, что съёмка велась не в автоматическом режиме, а была произведена на переносное средство фиксации - на планшет, который входит в состав комплекса "ПаркНет-М".</w:t>
        <w:br/>
        <w:tab/>
        <w:t>2) на планшет осуществлялось воздействие — устройство управлялось и наводилось на транспортное средство человеком (оператором).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 материалах дела отсутствуют сведения о том, что средство фотосъемки АПК «ПаркНет-М» функционировало без какого-либо непосредственного воздействия на него человека и осуществляло фиксацию в зоне своего обзора всех административных правонарушений, для выявления которых оно предназначено, независимо от усмотрения того или иного лица.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 отношении привлекаемого к административной ответственности лица должен был быть составлен протокол об административном правонарушении, а материалы фотосъемки, полученные с использованием планшета, подлежали приобщению к материалам дела в качестве доказательств совершения административного правонарушения (ч.1 ст.28.2 КоАП РФ).</w:t>
      </w:r>
    </w:p>
    <w:p>
      <w:pPr>
        <w:pStyle w:val="Normal"/>
        <w:numPr>
          <w:ilvl w:val="0"/>
          <w:numId w:val="1"/>
        </w:numPr>
        <w:spacing w:lineRule="auto" w:line="312" w:before="20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Таким образом, в рамках настоящего дела протокол об административном правонарушении ГКУ “АМПП” составлен не был, постановление по делу об административном правонарушении по правилам ч. 1 ст. 28.6 КоАП РФ также не выносилось, чем был нарушен установленный КоАП РФ порядок привлечения виновного лица к административной ответственности, что является существенным нарушением процессуальных норм, в связи с чем, Постановление является незаконным, необоснованным и подлежит отмене.</w:t>
      </w:r>
    </w:p>
    <w:p>
      <w:pPr>
        <w:pStyle w:val="Normal"/>
        <w:spacing w:lineRule="auto" w:line="312" w:before="200" w:after="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12" w:before="0" w:after="6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Данные выводы полностью соответствуют правовой позиции, сформулированной в судебной практике:</w:t>
      </w:r>
    </w:p>
    <w:tbl>
      <w:tblPr>
        <w:tblStyle w:val="afb"/>
        <w:tblW w:w="852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3540"/>
        <w:gridCol w:w="4979"/>
      </w:tblGrid>
      <w:tr>
        <w:trPr>
          <w:trHeight w:val="470" w:hRule="atLeast"/>
        </w:trPr>
        <w:tc>
          <w:tcPr>
            <w:tcW w:w="3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0000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sdt>
              <w:sdtPr>
                <w:tag w:val="goog_rdk_0"/>
                <w:id w:val="-2510635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4"/>
                    <w:szCs w:val="24"/>
                  </w:rPr>
                </w:r>
                <w:r>
                  <w:rPr>
                    <w:rFonts w:eastAsia="Times New Roman" w:cs="Times New Roman" w:ascii="Times New Roman" w:hAnsi="Times New Roman"/>
                    <w:sz w:val="24"/>
                    <w:szCs w:val="24"/>
                  </w:rPr>
                  <w:t>Постановления Верховного Суда РФ:</w:t>
                </w:r>
              </w:sdtContent>
            </w:sdt>
          </w:p>
        </w:tc>
        <w:tc>
          <w:tcPr>
            <w:tcW w:w="4979" w:type="dxa"/>
            <w:tcBorders>
              <w:top w:val="single" w:sz="8" w:space="0" w:color="FFFFFF"/>
              <w:left w:val="single" w:sz="8" w:space="0" w:color="000000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от 12.03.2020 N 5-АД20-13, от 20.04.2020 N 5-АД20-42, от 04.08.2020 N 5-АД20-72</w:t>
            </w:r>
          </w:p>
        </w:tc>
      </w:tr>
      <w:tr>
        <w:trPr/>
        <w:tc>
          <w:tcPr>
            <w:tcW w:w="3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0000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Постановления 2-го КСОЮ:</w:t>
            </w:r>
          </w:p>
        </w:tc>
        <w:tc>
          <w:tcPr>
            <w:tcW w:w="4979" w:type="dxa"/>
            <w:tcBorders>
              <w:top w:val="single" w:sz="8" w:space="0" w:color="FFFFFF"/>
              <w:left w:val="single" w:sz="8" w:space="0" w:color="000000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от 30.06.2020 по делу N 16-5044/2020</w:t>
            </w:r>
          </w:p>
        </w:tc>
      </w:tr>
      <w:tr>
        <w:trPr>
          <w:trHeight w:val="1590" w:hRule="atLeast"/>
        </w:trPr>
        <w:tc>
          <w:tcPr>
            <w:tcW w:w="35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0000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Решениях Московского городского суда:</w:t>
            </w:r>
          </w:p>
        </w:tc>
        <w:tc>
          <w:tcPr>
            <w:tcW w:w="4979" w:type="dxa"/>
            <w:tcBorders>
              <w:top w:val="single" w:sz="8" w:space="0" w:color="FFFFFF"/>
              <w:left w:val="single" w:sz="8" w:space="0" w:color="000000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pacing w:lineRule="auto" w:line="312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от 22.09.2020 по делу N 7-10611/2020, от 26.04.2021 по делу 7-4160/2021, от 25.05.2021 по делу N 7-7535/2021, от 07.06.2021 по делу N 7-8261/2021</w:t>
            </w:r>
          </w:p>
        </w:tc>
      </w:tr>
    </w:tbl>
    <w:p>
      <w:pPr>
        <w:pStyle w:val="Normal"/>
        <w:numPr>
          <w:ilvl w:val="0"/>
          <w:numId w:val="1"/>
        </w:numPr>
        <w:spacing w:lineRule="auto" w:line="312" w:before="0" w:after="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Лицо, привлекаемое к административной ответственности, не обязано доказывать свою невиновность. Неустранимые сомнения в виновности лица, привлекаемого к административной ответственности, толкуются в пользу этого лица (ст. 1.5 КоАП РФ).</w:t>
      </w:r>
    </w:p>
    <w:p>
      <w:pPr>
        <w:pStyle w:val="Normal"/>
        <w:numPr>
          <w:ilvl w:val="0"/>
          <w:numId w:val="1"/>
        </w:numPr>
        <w:spacing w:lineRule="auto" w:line="312" w:before="200" w:after="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результатам рассмотрения жалобы на постановление по делу об административном правонарушении выносится решение об отмене постановления и о прекращении производства по делу при наличии хотя бы одного из обстоятельств, предусмотренных статьями 2.9, 24.5 КоАП РФ, а также при недоказанности обстоятельств, на основании которых было вынесено постановление (п. 3 ч. 1 ст. 30.7 КоАП РФ).</w:t>
      </w:r>
    </w:p>
    <w:p>
      <w:pPr>
        <w:pStyle w:val="Normal"/>
        <w:widowControl w:val="false"/>
        <w:spacing w:lineRule="auto" w:line="312" w:before="0" w:after="0"/>
        <w:ind w:firstLine="708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312" w:before="0" w:after="0"/>
        <w:jc w:val="both"/>
        <w:rPr>
          <w:rFonts w:ascii="Tahoma" w:hAnsi="Tahoma" w:eastAsia="Tahoma" w:cs="Tahoma"/>
          <w:b/>
          <w:sz w:val="24"/>
          <w:szCs w:val="24"/>
        </w:rPr>
      </w:pPr>
      <w:r>
        <w:rPr>
          <w:rFonts w:eastAsia="Tahoma" w:cs="Tahoma" w:ascii="Tahoma" w:hAnsi="Tahoma"/>
          <w:b/>
          <w:sz w:val="24"/>
          <w:szCs w:val="24"/>
        </w:rPr>
        <w:t>На основании вышеизложенного, прошу:</w:t>
      </w:r>
    </w:p>
    <w:p>
      <w:pPr>
        <w:pStyle w:val="Normal"/>
        <w:widowControl w:val="false"/>
        <w:spacing w:lineRule="auto" w:line="312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numPr>
          <w:ilvl w:val="3"/>
          <w:numId w:val="2"/>
        </w:numPr>
        <w:spacing w:lineRule="auto" w:line="312" w:before="0" w:after="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Провести судебное заседание по рассмотрению жалобы в отсутствие лица, привлекаемого к административной ответственности.</w:t>
      </w:r>
    </w:p>
    <w:p>
      <w:pPr>
        <w:pStyle w:val="Normal"/>
        <w:widowControl w:val="false"/>
        <w:numPr>
          <w:ilvl w:val="0"/>
          <w:numId w:val="2"/>
        </w:numPr>
        <w:spacing w:lineRule="auto" w:line="312" w:before="0" w:after="0"/>
        <w:ind w:hanging="708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Постановление №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[resolution_number] от [date]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— отменить и прекратить производство по делу об административном правонарушении в соответствии с п. 3 ч. 1 ст. 30.7 КоАП РФ.</w:t>
      </w:r>
    </w:p>
    <w:p>
      <w:pPr>
        <w:pStyle w:val="Normal"/>
        <w:spacing w:lineRule="auto" w:line="312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bookmarkStart w:id="0" w:name="_heading=h.30j0zll"/>
      <w:bookmarkStart w:id="1" w:name="_heading=h.30j0zll"/>
      <w:bookmarkEnd w:id="1"/>
    </w:p>
    <w:p>
      <w:pPr>
        <w:pStyle w:val="Normal"/>
        <w:spacing w:lineRule="auto" w:line="312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Приложение: копия постановления №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[resolution_number] от [date]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widowControl w:val="false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afc"/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4601"/>
        <w:gridCol w:w="5036"/>
      </w:tblGrid>
      <w:tr>
        <w:trPr/>
        <w:tc>
          <w:tcPr>
            <w:tcW w:w="4601" w:type="dxa"/>
            <w:tcBorders/>
          </w:tcPr>
          <w:p>
            <w:pPr>
              <w:pStyle w:val="Normal"/>
              <w:widowControl w:val="false"/>
              <w:spacing w:before="0" w:after="200"/>
              <w:jc w:val="both"/>
              <w:rPr>
                <w:rFonts w:ascii="Times New Roman" w:hAnsi="Times New Roman" w:eastAsia="Times New Roman" w:cs="Times New Roman"/>
                <w:i/>
                <w:i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</w:rPr>
            </w:r>
          </w:p>
        </w:tc>
        <w:tc>
          <w:tcPr>
            <w:tcW w:w="5036" w:type="dxa"/>
            <w:tcBorders/>
          </w:tcPr>
          <w:p>
            <w:pPr>
              <w:pStyle w:val="Normal"/>
              <w:widowControl w:val="false"/>
              <w:ind w:left="-1842" w:right="1003"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2" w:name="_heading=h.gjdgxs"/>
            <w:bookmarkEnd w:id="2"/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____________________ /_________________/</w:t>
            </w:r>
          </w:p>
          <w:p>
            <w:pPr>
              <w:pStyle w:val="Normal"/>
              <w:widowControl w:val="false"/>
              <w:spacing w:before="0" w:after="200"/>
              <w:ind w:firstLine="145"/>
              <w:rPr>
                <w:rFonts w:ascii="Times New Roman" w:hAnsi="Times New Roman" w:eastAsia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i/>
                <w:sz w:val="20"/>
                <w:szCs w:val="20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i/>
                <w:sz w:val="20"/>
                <w:szCs w:val="20"/>
              </w:rPr>
              <w:t>подпись</w:t>
              <w:tab/>
              <w:t xml:space="preserve">                 расшифровка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2267" w:right="1133" w:gutter="0" w:header="0" w:top="1133" w:footer="708" w:bottom="1133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libri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</w:font>
  <w:font w:name="Segoe UI">
    <w:charset w:val="01"/>
    <w:family w:val="roman"/>
    <w:pitch w:val="variable"/>
    <w:embedRegular r:id="rId16" w:fontKey="{10014A78-CABC-4EF0-12AC-5CD89AEFDE10}"/>
    <w:embedBold r:id="rId17" w:fontKey="{11014A78-CABC-4EF0-12AC-5CD89AEFDE11}"/>
  </w:font>
  <w:font w:name="Liberation Sans">
    <w:altName w:val="Arial"/>
    <w:charset w:val="01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Courier New">
    <w:charset w:val="01"/>
    <w:family w:val="roman"/>
    <w:pitch w:val="variable"/>
    <w:embedRegular r:id="rId22" w:fontKey="{16014A78-CABC-4EF0-12AC-5CD89AEFDE16}"/>
  </w:font>
  <w:font w:name="Georgia">
    <w:charset w:val="01"/>
    <w:family w:val="roman"/>
    <w:pitch w:val="variable"/>
    <w:embedRegular r:id="rId23" w:fontKey="{17014A78-CABC-4EF0-12AC-5CD89AEFDE17}"/>
    <w:embedBold r:id="rId24" w:fontKey="{18014A78-CABC-4EF0-12AC-5CD89AEFDE18}"/>
    <w:embedItalic r:id="rId25" w:fontKey="{19014A78-CABC-4EF0-12AC-5CD89AEFDE19}"/>
    <w:embedBoldItalic r:id="rId26" w:fontKey="{1A014A78-CABC-4EF0-12AC-5CD89AEFDE1A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ahoma">
    <w:charset w:val="01"/>
    <w:family w:val="roman"/>
    <w:pitch w:val="variable"/>
    <w:embedRegular r:id="rId27" w:fontKey="{1B014A78-CABC-4EF0-12AC-5CD89AEFDE1B}"/>
    <w:embedBold r:id="rId28" w:fontKey="{1C014A78-CABC-4EF0-12AC-5CD89AEFDE1C}"/>
    <w:embedItalic r:id="rId29" w:fontKey="{1D014A78-CABC-4EF0-12AC-5CD89AEFDE1D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3</w:t>
    </w:r>
    <w:r>
      <w:rPr>
        <w:color w:val="00000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3</w:t>
    </w:r>
    <w:r>
      <w:rPr>
        <w:color w:val="000000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-708" w:hanging="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b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8" w:customStyle="1">
    <w:name w:val="Текст сноски Знак"/>
    <w:basedOn w:val="DefaultParagraphFont"/>
    <w:link w:val="FootnoteText"/>
    <w:uiPriority w:val="99"/>
    <w:semiHidden/>
    <w:qFormat/>
    <w:rsid w:val="00d517e3"/>
    <w:rPr>
      <w:rFonts w:eastAsia="" w:eastAsiaTheme="minorEastAsia"/>
      <w:sz w:val="20"/>
      <w:szCs w:val="20"/>
      <w:lang w:eastAsia="ru-RU"/>
    </w:rPr>
  </w:style>
  <w:style w:type="character" w:styleId="FootnoteCharacters">
    <w:name w:val="Footnote Characters"/>
    <w:uiPriority w:val="99"/>
    <w:unhideWhenUsed/>
    <w:qFormat/>
    <w:rsid w:val="00d517e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517e3"/>
    <w:rPr>
      <w:color w:themeColor="hyperlink" w:val="0563C1"/>
      <w:u w:val="single"/>
    </w:rPr>
  </w:style>
  <w:style w:type="character" w:styleId="Style9" w:customStyle="1">
    <w:name w:val="Верхний колонтитул Знак"/>
    <w:basedOn w:val="DefaultParagraphFont"/>
    <w:link w:val="Header"/>
    <w:uiPriority w:val="99"/>
    <w:qFormat/>
    <w:rsid w:val="0033429b"/>
    <w:rPr/>
  </w:style>
  <w:style w:type="character" w:styleId="Style10" w:customStyle="1">
    <w:name w:val="Нижний колонтитул Знак"/>
    <w:basedOn w:val="DefaultParagraphFont"/>
    <w:link w:val="Footer"/>
    <w:uiPriority w:val="99"/>
    <w:qFormat/>
    <w:rsid w:val="0033429b"/>
    <w:rPr/>
  </w:style>
  <w:style w:type="character" w:styleId="Style11" w:customStyle="1">
    <w:name w:val="Текст примечания Знак"/>
    <w:basedOn w:val="DefaultParagraphFont"/>
    <w:link w:val="AnnotationText"/>
    <w:uiPriority w:val="99"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2" w:customStyle="1">
    <w:name w:val="Текст выноски Знак"/>
    <w:basedOn w:val="DefaultParagraphFont"/>
    <w:link w:val="BalloonText"/>
    <w:uiPriority w:val="99"/>
    <w:semiHidden/>
    <w:qFormat/>
    <w:rsid w:val="003615cf"/>
    <w:rPr>
      <w:rFonts w:ascii="Segoe UI" w:hAnsi="Segoe UI" w:cs="Segoe UI"/>
      <w:sz w:val="18"/>
      <w:szCs w:val="18"/>
    </w:rPr>
  </w:style>
  <w:style w:type="character" w:styleId="Style13" w:customStyle="1">
    <w:name w:val="Тема примечания Знак"/>
    <w:basedOn w:val="Style11"/>
    <w:link w:val="annotationsubject"/>
    <w:uiPriority w:val="99"/>
    <w:semiHidden/>
    <w:qFormat/>
    <w:rsid w:val="003615cf"/>
    <w:rPr>
      <w:b/>
      <w:bCs/>
      <w:sz w:val="20"/>
      <w:szCs w:val="20"/>
    </w:rPr>
  </w:style>
  <w:style w:type="character" w:styleId="1" w:customStyle="1">
    <w:name w:val="Неразрешенное упоминание1"/>
    <w:basedOn w:val="DefaultParagraphFont"/>
    <w:uiPriority w:val="99"/>
    <w:semiHidden/>
    <w:unhideWhenUsed/>
    <w:qFormat/>
    <w:rsid w:val="001c54ba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ConsPlusNonformat" w:customStyle="1">
    <w:name w:val="ConsPlusNonformat"/>
    <w:qFormat/>
    <w:rsid w:val="00d517e3"/>
    <w:pPr>
      <w:widowControl w:val="false"/>
      <w:suppressAutoHyphens w:val="true"/>
      <w:bidi w:val="0"/>
      <w:spacing w:lineRule="auto" w:line="240" w:before="0" w:after="0"/>
      <w:jc w:val="left"/>
    </w:pPr>
    <w:rPr>
      <w:rFonts w:ascii="Courier New" w:hAnsi="Courier New" w:eastAsia="" w:cs="Courier New" w:eastAsiaTheme="minorEastAsia"/>
      <w:color w:val="auto"/>
      <w:kern w:val="0"/>
      <w:sz w:val="20"/>
      <w:szCs w:val="20"/>
      <w:lang w:val="ru-RU" w:eastAsia="ru-RU" w:bidi="ar-SA"/>
    </w:rPr>
  </w:style>
  <w:style w:type="paragraph" w:styleId="FootnoteText">
    <w:name w:val="Footnote Text"/>
    <w:link w:val="Style8"/>
    <w:uiPriority w:val="99"/>
    <w:semiHidden/>
    <w:unhideWhenUsed/>
    <w:rsid w:val="00d517e3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Calibri" w:eastAsiaTheme="minorEastAsia"/>
      <w:color w:val="auto"/>
      <w:kern w:val="0"/>
      <w:sz w:val="20"/>
      <w:szCs w:val="20"/>
      <w:lang w:val="ru-RU" w:eastAsia="ru-RU" w:bidi="ar-SA"/>
    </w:rPr>
  </w:style>
  <w:style w:type="paragraph" w:styleId="ListParagraph">
    <w:name w:val="List Paragraph"/>
    <w:uiPriority w:val="34"/>
    <w:qFormat/>
    <w:rsid w:val="00d517e3"/>
    <w:pPr>
      <w:widowControl/>
      <w:suppressAutoHyphens w:val="true"/>
      <w:bidi w:val="0"/>
      <w:spacing w:lineRule="auto" w:line="259" w:before="0" w:after="160"/>
      <w:ind w:left="720"/>
      <w:contextualSpacing/>
      <w:jc w:val="left"/>
    </w:pPr>
    <w:rPr>
      <w:rFonts w:ascii="Calibri" w:hAnsi="Calibri" w:eastAsia="" w:cs="Calibri" w:eastAsiaTheme="minorEastAsia"/>
      <w:color w:val="auto"/>
      <w:kern w:val="0"/>
      <w:sz w:val="22"/>
      <w:szCs w:val="22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link w:val="Style9"/>
    <w:uiPriority w:val="99"/>
    <w:unhideWhenUsed/>
    <w:rsid w:val="0033429b"/>
    <w:pPr>
      <w:widowControl/>
      <w:tabs>
        <w:tab w:val="clear" w:pos="720"/>
        <w:tab w:val="center" w:pos="4677" w:leader="none"/>
        <w:tab w:val="right" w:pos="9355" w:leader="none"/>
      </w:tabs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Footer">
    <w:name w:val="Footer"/>
    <w:link w:val="Style10"/>
    <w:uiPriority w:val="99"/>
    <w:unhideWhenUsed/>
    <w:rsid w:val="0033429b"/>
    <w:pPr>
      <w:widowControl/>
      <w:tabs>
        <w:tab w:val="clear" w:pos="720"/>
        <w:tab w:val="center" w:pos="4677" w:leader="none"/>
        <w:tab w:val="right" w:pos="9355" w:leader="none"/>
      </w:tabs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AnnotationText">
    <w:name w:val="Annotation Text"/>
    <w:link w:val="Style11"/>
    <w:uiPriority w:val="99"/>
    <w:unhideWhenUsed/>
    <w:pPr>
      <w:widowControl/>
      <w:suppressAutoHyphens w:val="true"/>
      <w:bidi w:val="0"/>
      <w:spacing w:lineRule="auto" w:line="240" w:before="0" w:after="200"/>
      <w:jc w:val="left"/>
    </w:pPr>
    <w:rPr>
      <w:rFonts w:ascii="Calibri" w:hAnsi="Calibri" w:eastAsia="Calibri" w:cs="Calibri"/>
      <w:color w:val="auto"/>
      <w:kern w:val="0"/>
      <w:sz w:val="20"/>
      <w:szCs w:val="20"/>
      <w:lang w:val="ru-RU" w:eastAsia="ru-RU" w:bidi="ar-SA"/>
    </w:rPr>
  </w:style>
  <w:style w:type="paragraph" w:styleId="BalloonText">
    <w:name w:val="Balloon Text"/>
    <w:link w:val="Style12"/>
    <w:uiPriority w:val="99"/>
    <w:semiHidden/>
    <w:unhideWhenUsed/>
    <w:qFormat/>
    <w:rsid w:val="003615cf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ru-RU" w:bidi="ar-SA"/>
    </w:rPr>
  </w:style>
  <w:style w:type="paragraph" w:styleId="annotationsubject">
    <w:name w:val="annotation subject"/>
    <w:basedOn w:val="AnnotationText"/>
    <w:next w:val="AnnotationText"/>
    <w:link w:val="Style13"/>
    <w:uiPriority w:val="99"/>
    <w:semiHidden/>
    <w:unhideWhenUsed/>
    <w:qFormat/>
    <w:rsid w:val="003615cf"/>
    <w:pPr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d517e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<Relationship Id="rId29" Type="http://schemas.openxmlformats.org/officeDocument/2006/relationships/font" Target="fonts/font29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FSW8zCbWmEiDRcr/kkK5IRpm6xw==">CgMxLjAaHwoBMBIaChgICVIUChJ0YWJsZS5nem45b2RjYzRhMDAyCWguMzBqMHpsbDIIaC5namRneHM4AHIhMWo4OXh1cndYOXN1RFlQbkVDd29palZUNFRlWXRvS0J0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3</Pages>
  <Words>690</Words>
  <Characters>4813</Characters>
  <CharactersWithSpaces>5751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2021-04-11T17:03:00Z</dcterms:created>
  <dc:creator>Никитин</dc:creator>
  <dc:description/>
  <dc:language>en-US</dc:language>
  <cp:lastModifiedBy/>
  <dcterms:modified xsi:type="dcterms:W3CDTF">2026-03-23T20:00:17Z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