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ООО «Демо-Подрядчик», 000000, г. Примерный, ул. Вымышленная, д. 1</w:t>
      </w:r>
    </w:p>
    <w:p>
      <w:r>
        <w:t xml:space="preserve">Исх. № </w:t>
      </w:r>
      <w:r>
        <w:t xml:space="preserve">{{letter_number}}</w:t>
      </w:r>
      <w:r>
        <w:t xml:space="preserve"> от </w:t>
      </w:r>
      <w:r>
        <w:t xml:space="preserve">{{letter_date}}</w:t>
      </w:r>
    </w:p>
    <w:p>
      <w:r>
        <w:t xml:space="preserve">{{addressee}}</w:t>
      </w:r>
    </w:p>
    <w:p>
      <w:pPr>
        <w:pStyle w:val="Title"/>
      </w:pPr>
      <w:r>
        <w:t xml:space="preserve">Коммерческое предложение по тендеру «</w:t>
      </w:r>
      <w:r>
        <w:t xml:space="preserve">{{subject}}</w:t>
      </w:r>
      <w:r>
        <w:t xml:space="preserve">»</w:t>
      </w:r>
    </w:p>
    <w:p>
      <w:r>
        <w:t xml:space="preserve">Стоимость материалов и оборудования учтена по состоянию на </w:t>
      </w:r>
      <w:r>
        <w:t xml:space="preserve">{{materials_price_date}}</w:t>
      </w:r>
      <w:r>
        <w:t xml:space="preserve">.</w:t>
      </w:r>
    </w:p>
    <w:p>
      <w:r>
        <w:t xml:space="preserve">{{#kp_price}}</w:t>
      </w:r>
      <w:r>
        <w:t xml:space="preserve">Цена предложения — </w:t>
      </w:r>
      <w:r>
        <w:t xml:space="preserve">{{kp_price}}</w:t>
      </w:r>
      <w:r>
        <w:t xml:space="preserve"> млн руб. с НДС.</w:t>
      </w:r>
      <w:r>
        <w:t xml:space="preserve">{{/kp_price}}</w:t>
      </w:r>
    </w:p>
    <w:p>
      <w:r>
        <w:t xml:space="preserve">Условия предложения:</w:t>
      </w:r>
    </w:p>
    <w:p>
      <w:pPr>
        <w:numPr>
          <w:ilvl w:val="0"/>
          <w:numId w:val="1"/>
        </w:numPr>
      </w:pPr>
      <w:r>
        <w:t xml:space="preserve">Общий аванс — </w:t>
      </w:r>
      <w:r>
        <w:t xml:space="preserve">{{advance_percent}}</w:t>
      </w:r>
      <w:r>
        <w:t xml:space="preserve"> % от цены договора.</w:t>
      </w:r>
    </w:p>
    <w:p>
      <w:pPr>
        <w:numPr>
          <w:ilvl w:val="0"/>
          <w:numId w:val="1"/>
        </w:numPr>
      </w:pPr>
      <w:r>
        <w:t xml:space="preserve">{{#retention_percent}}</w:t>
      </w:r>
      <w:r>
        <w:t xml:space="preserve">Гарантийное удержание — </w:t>
      </w:r>
      <w:r>
        <w:t xml:space="preserve">{{retention_percent}}</w:t>
      </w:r>
      <w:r>
        <w:t xml:space="preserve"> % от стоимости выполненных работ.</w:t>
      </w:r>
      <w:r>
        <w:t xml:space="preserve">{{/retention_percent}}</w:t>
      </w:r>
    </w:p>
    <w:p>
      <w:pPr>
        <w:numPr>
          <w:ilvl w:val="0"/>
          <w:numId w:val="1"/>
        </w:numPr>
      </w:pPr>
      <w:r>
        <w:t xml:space="preserve">Срок выполнения работ до получения заключения о соответствии — </w:t>
      </w:r>
      <w:r>
        <w:t xml:space="preserve">{{duration_months}}</w:t>
      </w:r>
      <w:r>
        <w:t xml:space="preserve"> мес.</w:t>
      </w:r>
    </w:p>
    <w:p>
      <w:pPr>
        <w:numPr>
          <w:ilvl w:val="0"/>
          <w:numId w:val="1"/>
        </w:numPr>
      </w:pPr>
      <w:r>
        <w:t xml:space="preserve">{{#warranty_months}}</w:t>
      </w:r>
      <w:r>
        <w:t xml:space="preserve">Гарантийный срок на общестроительные работы — </w:t>
      </w:r>
      <w:r>
        <w:t xml:space="preserve">{{warranty_months}}</w:t>
      </w:r>
      <w:r>
        <w:t xml:space="preserve"> мес.</w:t>
      </w:r>
      <w:r>
        <w:t xml:space="preserve">{{/warranty_months}}</w:t>
      </w:r>
    </w:p>
    <w:p>
      <w:pPr>
        <w:numPr>
          <w:ilvl w:val="0"/>
          <w:numId w:val="1"/>
        </w:numPr>
      </w:pPr>
      <w:r>
        <w:t xml:space="preserve">{{#inflation_threshold}}</w:t>
      </w:r>
      <w:r>
        <w:t xml:space="preserve">Компенсация роста стоимости материалов — при накопленной инфляции свыше </w:t>
      </w:r>
      <w:r>
        <w:t xml:space="preserve">{{inflation_threshold}}</w:t>
      </w:r>
      <w:r>
        <w:t xml:space="preserve"> %.</w:t>
      </w:r>
      <w:r>
        <w:t xml:space="preserve">{{/inflation_threshold}}</w:t>
      </w:r>
    </w:p>
    <w:p>
      <w:r>
        <w:t xml:space="preserve">{{#conditions_text}}</w:t>
      </w:r>
      <w:r>
        <w:t xml:space="preserve">Прочие условия: </w:t>
      </w:r>
      <w:r>
        <w:t xml:space="preserve">{{conditions_text}}</w:t>
      </w:r>
      <w:r>
        <w:t xml:space="preserve">{{/conditions_text}}</w:t>
      </w:r>
    </w:p>
    <w:p>
      <w:r>
        <w:t xml:space="preserve">Не предоставленные исходные данные:</w:t>
      </w:r>
    </w:p>
    <w:tbl>
      <w:tblPr>
        <w:tblStyle w:val="Grid"/>
        <w:tblW w:w="9000" w:type="dxa"/>
      </w:tblPr>
      <w:tblGrid>
        <w:gridCol w:w="600"/>
        <w:gridCol w:w="8400"/>
      </w:tblGrid>
      <w:tr>
        <w:tc>
          <w:tcPr>
            <w:tcW w:w="600" w:type="dxa"/>
          </w:tcPr>
          <w:p>
            <w:r>
              <w:t xml:space="preserve">№</w:t>
            </w:r>
          </w:p>
        </w:tc>
        <w:tc>
          <w:tcPr>
            <w:tcW w:w="8400" w:type="dxa"/>
          </w:tcPr>
          <w:p>
            <w:r>
              <w:t xml:space="preserve">Исходные данные</w:t>
            </w:r>
          </w:p>
        </w:tc>
      </w:tr>
      <w:tr>
        <w:tc>
          <w:tcPr>
            <w:tcW w:w="600" w:type="dxa"/>
          </w:tcPr>
          <w:p>
            <w:r>
              <w:t xml:space="preserve">{{#missing_data}}</w:t>
            </w:r>
            <w:r>
              <w:t xml:space="preserve">—</w:t>
            </w:r>
          </w:p>
        </w:tc>
        <w:tc>
          <w:tcPr>
            <w:tcW w:w="8400" w:type="dxa"/>
          </w:tcPr>
          <w:p>
            <w:r>
              <w:t xml:space="preserve">{{item}}</w:t>
            </w:r>
            <w:r>
              <w:t xml:space="preserve">{{/missing_data}}</w:t>
            </w:r>
          </w:p>
        </w:tc>
      </w:tr>
    </w:tbl>
    <w:p>
      <w:r>
        <w:t xml:space="preserve">Предложение действует </w:t>
      </w:r>
      <w:r>
        <w:t xml:space="preserve">{{validity_days}}</w:t>
      </w:r>
      <w:r>
        <w:t xml:space="preserve"> календарных дней с даты письма.</w:t>
      </w:r>
    </w:p>
    <w:p>
      <w:r>
        <w:t xml:space="preserve">Генеральный директор ООО «Демо-Подрядчик»                    И. И. Вымышленный</w:t>
      </w:r>
    </w:p>
    <w:sectPr>
      <w:footerReference xmlns:r="http://schemas.openxmlformats.org/officeDocument/2006/relationships" w:type="default" r:id="rId2"/>
      <w:pgSz w:w="11906" w:h="16838"/>
      <w:pgMar w:top="1134" w:right="850" w:bottom="1134" w:left="1418" w:header="709" w:footer="709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>Демонстрационная форма с вымышленным текстом — структура письма коммерческого предложения</w:t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suff w:val="space"/>
      <w:pPr>
        <w:ind w:left="0" w:firstLine="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 w:eastAsia="Liberation Serif"/>
        <w:sz w:val="24"/>
        <w:lang w:val="ru-RU"/>
      </w:rPr>
    </w:rPrDefault>
    <w:pPrDefault>
      <w:pPr>
        <w:spacing w:after="120" w:line="264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28"/>
    </w:rPr>
  </w:style>
  <w:style w:type="table" w:styleId="Grid">
    <w:name w:val="Grid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/Relationships>
</file>