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ООО «Демо-Подрядчик», 000000, г. Примерный, ул. Вымышленная, д. 1</w:t>
      </w:r>
    </w:p>
    <w:p>
      <w:r>
        <w:t xml:space="preserve">Исх. № </w:t>
      </w:r>
      <w:r>
        <w:rPr>
          <w:highlight w:val="yellow"/>
        </w:rPr>
        <w:t xml:space="preserve">[номер]</w:t>
      </w:r>
      <w:r>
        <w:t xml:space="preserve"> от </w:t>
      </w:r>
      <w:r>
        <w:rPr>
          <w:highlight w:val="yellow"/>
        </w:rPr>
        <w:t xml:space="preserve">[дата]</w:t>
      </w:r>
    </w:p>
    <w:p>
      <w:r>
        <w:rPr>
          <w:highlight w:val="yellow"/>
        </w:rPr>
        <w:t xml:space="preserve">[адресат]</w:t>
      </w:r>
    </w:p>
    <w:p>
      <w:pPr>
        <w:pStyle w:val="Title"/>
      </w:pPr>
      <w:r>
        <w:t xml:space="preserve">Коммерческое предложение по тендеру «</w:t>
      </w:r>
      <w:r>
        <w:rPr>
          <w:highlight w:val="yellow"/>
        </w:rPr>
        <w:t xml:space="preserve">[предмет тендера]</w:t>
      </w:r>
      <w:r>
        <w:t xml:space="preserve">»</w:t>
      </w:r>
    </w:p>
    <w:p>
      <w:r>
        <w:t xml:space="preserve">Стоимость материалов и оборудования учтена по состоянию на </w:t>
      </w:r>
      <w:r>
        <w:rPr>
          <w:highlight w:val="yellow"/>
        </w:rPr>
        <w:t xml:space="preserve">[дата цен]</w:t>
      </w:r>
      <w:r>
        <w:t xml:space="preserve">.</w:t>
      </w:r>
    </w:p>
    <w:p>
      <w:r>
        <w:rPr>
          <w:highlight w:val="yellow"/>
        </w:rPr>
        <w:t xml:space="preserve"/>
      </w:r>
      <w:r>
        <w:t xml:space="preserve">Цена предложения — </w:t>
      </w:r>
      <w:r>
        <w:rPr>
          <w:highlight w:val="yellow"/>
        </w:rPr>
        <w:t xml:space="preserve">[цена]</w:t>
      </w:r>
      <w:r>
        <w:t xml:space="preserve"> млн руб. с НДС.</w:t>
      </w:r>
      <w:r>
        <w:rPr>
          <w:highlight w:val="yellow"/>
        </w:rPr>
        <w:t xml:space="preserve"/>
      </w:r>
    </w:p>
    <w:p>
      <w:r>
        <w:t xml:space="preserve">Условия предложения:</w:t>
      </w:r>
    </w:p>
    <w:p>
      <w:r>
        <w:t xml:space="preserve">1. </w:t>
      </w:r>
      <w:r>
        <w:t xml:space="preserve">Общий аванс — </w:t>
      </w:r>
      <w:r>
        <w:rPr>
          <w:highlight w:val="yellow"/>
        </w:rPr>
        <w:t xml:space="preserve">[аванс]</w:t>
      </w:r>
      <w:r>
        <w:t xml:space="preserve"> % от цены договора.</w:t>
      </w:r>
    </w:p>
    <w:p>
      <w:r>
        <w:t xml:space="preserve">2. </w:t>
      </w:r>
      <w:r>
        <w:rPr>
          <w:highlight w:val="yellow"/>
        </w:rPr>
        <w:t xml:space="preserve"/>
      </w:r>
      <w:r>
        <w:t xml:space="preserve">Гарантийное удержание — </w:t>
      </w:r>
      <w:r>
        <w:rPr>
          <w:highlight w:val="yellow"/>
        </w:rPr>
        <w:t xml:space="preserve">[удержание]</w:t>
      </w:r>
      <w:r>
        <w:t xml:space="preserve"> % от стоимости выполненных работ.</w:t>
      </w:r>
      <w:r>
        <w:rPr>
          <w:highlight w:val="yellow"/>
        </w:rPr>
        <w:t xml:space="preserve"/>
      </w:r>
    </w:p>
    <w:p>
      <w:r>
        <w:t xml:space="preserve">3. </w:t>
      </w:r>
      <w:r>
        <w:t xml:space="preserve">Срок выполнения работ до получения заключения о соответствии — </w:t>
      </w:r>
      <w:r>
        <w:rPr>
          <w:highlight w:val="yellow"/>
        </w:rPr>
        <w:t xml:space="preserve">[срок]</w:t>
      </w:r>
      <w:r>
        <w:t xml:space="preserve"> мес.</w:t>
      </w:r>
    </w:p>
    <w:p>
      <w:r>
        <w:t xml:space="preserve">4. </w:t>
      </w:r>
      <w:r>
        <w:rPr>
          <w:highlight w:val="yellow"/>
        </w:rPr>
        <w:t xml:space="preserve"/>
      </w:r>
      <w:r>
        <w:t xml:space="preserve">Гарантийный срок на общестроительные работы — </w:t>
      </w:r>
      <w:r>
        <w:rPr>
          <w:highlight w:val="yellow"/>
        </w:rPr>
        <w:t xml:space="preserve">[гарантия]</w:t>
      </w:r>
      <w:r>
        <w:t xml:space="preserve"> мес.</w:t>
      </w:r>
      <w:r>
        <w:rPr>
          <w:highlight w:val="yellow"/>
        </w:rPr>
        <w:t xml:space="preserve"/>
      </w:r>
    </w:p>
    <w:p>
      <w:r>
        <w:t xml:space="preserve">5. </w:t>
      </w:r>
      <w:r>
        <w:rPr>
          <w:highlight w:val="yellow"/>
        </w:rPr>
        <w:t xml:space="preserve"/>
      </w:r>
      <w:r>
        <w:t xml:space="preserve">Компенсация роста стоимости материалов — при накопленной инфляции свыше </w:t>
      </w:r>
      <w:r>
        <w:rPr>
          <w:highlight w:val="yellow"/>
        </w:rPr>
        <w:t xml:space="preserve">[порог]</w:t>
      </w:r>
      <w:r>
        <w:t xml:space="preserve"> %.</w:t>
      </w:r>
      <w:r>
        <w:rPr>
          <w:highlight w:val="yellow"/>
        </w:rPr>
        <w:t xml:space="preserve"/>
      </w:r>
    </w:p>
    <w:p>
      <w:r>
        <w:rPr>
          <w:highlight w:val="yellow"/>
        </w:rPr>
        <w:t xml:space="preserve"/>
      </w:r>
      <w:r>
        <w:t xml:space="preserve">Прочие условия: </w:t>
      </w:r>
      <w:r>
        <w:rPr>
          <w:highlight w:val="yellow"/>
        </w:rPr>
        <w:t xml:space="preserve">[прочие условия]</w:t>
      </w:r>
      <w:r>
        <w:rPr>
          <w:highlight w:val="yellow"/>
        </w:rPr>
        <w:t xml:space="preserve"/>
      </w:r>
    </w:p>
    <w:p>
      <w:r>
        <w:t xml:space="preserve">Не предоставленные исходные данные:</w:t>
      </w:r>
    </w:p>
    <w:tbl>
      <w:tblPr>
        <w:tblStyle w:val="Grid"/>
        <w:tblW w:w="9000" w:type="dxa"/>
      </w:tblPr>
      <w:tblGrid>
        <w:gridCol w:w="600"/>
        <w:gridCol w:w="8400"/>
      </w:tblGrid>
      <w:tr>
        <w:tc>
          <w:tcPr>
            <w:tcW w:w="600" w:type="dxa"/>
          </w:tcPr>
          <w:p>
            <w:r>
              <w:t xml:space="preserve">№</w:t>
            </w:r>
          </w:p>
        </w:tc>
        <w:tc>
          <w:tcPr>
            <w:tcW w:w="8400" w:type="dxa"/>
          </w:tcPr>
          <w:p>
            <w:r>
              <w:t xml:space="preserve">Исходные данные</w:t>
            </w:r>
          </w:p>
        </w:tc>
      </w:tr>
      <w:tr>
        <w:tc>
          <w:tcPr>
            <w:tcW w:w="600" w:type="dxa"/>
          </w:tcPr>
          <w:p>
            <w:r>
              <w:rPr>
                <w:highlight w:val="yellow"/>
              </w:rPr>
              <w:t xml:space="preserve"/>
            </w:r>
            <w:r>
              <w:t xml:space="preserve">—</w:t>
            </w:r>
          </w:p>
        </w:tc>
        <w:tc>
          <w:tcPr>
            <w:tcW w:w="8400" w:type="dxa"/>
          </w:tcPr>
          <w:p>
            <w:r>
              <w:rPr>
                <w:highlight w:val="yellow"/>
              </w:rPr>
              <w:t xml:space="preserve">[позиция перечня]</w:t>
            </w:r>
            <w:r>
              <w:rPr>
                <w:highlight w:val="yellow"/>
              </w:rPr>
              <w:t xml:space="preserve"/>
            </w:r>
          </w:p>
        </w:tc>
      </w:tr>
    </w:tbl>
    <w:p>
      <w:r>
        <w:t xml:space="preserve">Предложение действует </w:t>
      </w:r>
      <w:r>
        <w:rPr>
          <w:highlight w:val="yellow"/>
        </w:rPr>
        <w:t xml:space="preserve">[срок]</w:t>
      </w:r>
      <w:r>
        <w:t xml:space="preserve"> календарных дней с даты письма.</w:t>
      </w:r>
    </w:p>
    <w:p>
      <w:r>
        <w:t xml:space="preserve">Генеральный директор ООО «Демо-Подрядчик»                    И. И. Вымышленный</w:t>
      </w:r>
    </w:p>
    <w:sectPr>
      <w:footerReference xmlns:r="http://schemas.openxmlformats.org/officeDocument/2006/relationships" w:type="default" r:id="rId2"/>
      <w:pgSz w:w="11906" w:h="16838"/>
      <w:pgMar w:top="1134" w:right="850" w:bottom="1134" w:left="1418" w:header="709" w:footer="709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Демонстрационная форма с вымышленным текстом — структура письма коммерческого предложения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suff w:val="space"/>
      <w:pPr>
        <w:ind w:left="0" w:firstLine="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 w:eastAsia="Liberation Serif"/>
        <w:sz w:val="24"/>
        <w:lang w:val="ru-RU"/>
      </w:rPr>
    </w:rPrDefault>
    <w:pPrDefault>
      <w:pPr>
        <w:spacing w:after="120" w:line="264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28"/>
    </w:rPr>
  </w:style>
  <w:style w:type="table" w:styleId="Grid">
    <w:name w:val="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/Relationships>
</file>