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Indice</w:t>
      </w:r>
      <w:r>
        <w:t xml:space="preserve"> </w:t>
      </w:r>
      <w:r>
        <w:t xml:space="preserve">di</w:t>
      </w:r>
      <w:r>
        <w:t xml:space="preserve"> </w:t>
      </w:r>
      <w:r>
        <w:t xml:space="preserve">Probabilità</w:t>
      </w:r>
      <w:r>
        <w:t xml:space="preserve"> </w:t>
      </w:r>
      <w:r>
        <w:t xml:space="preserve">Relativo</w:t>
      </w:r>
    </w:p>
    <w:bookmarkStart w:id="24" w:name="Xd063910db6c433117a89327329826781e7662a6"/>
    <w:p>
      <w:pPr>
        <w:pStyle w:val="Heading2"/>
      </w:pPr>
      <w:r>
        <w:t xml:space="preserve">Formula per l’indice di probabilità relativo</w:t>
      </w:r>
    </w:p>
    <w:p>
      <w:pPr>
        <w:pStyle w:val="FirstParagraph"/>
      </w:pPr>
      <w:r>
        <w:t xml:space="preserve">L’indice di probabilità relativo per ogni categoria di foresta si basa sul calcolo della percentuale di anni in cui un determinato plot supera la soglia, ponderato per il numero di plot presenti in ogni categoria di foresta.</w:t>
      </w:r>
    </w:p>
    <w:p>
      <w:pPr>
        <w:pStyle w:val="BodyText"/>
      </w:pPr>
      <w:r>
        <w:t xml:space="preserve">Definiamo i seguenti parametri:</w:t>
      </w:r>
      <w:r>
        <w:t xml:space="preserve"> </w:t>
      </w:r>
      <w:r>
        <w:t xml:space="preserve">-</w:t>
      </w:r>
      <w:r>
        <w:t xml:space="preserve"> </w:t>
      </w:r>
      <m:oMath>
        <m:sSub>
          <m:e>
            <m:r>
              <m:t>X</m:t>
            </m:r>
          </m:e>
          <m:sub>
            <m:r>
              <m:t>i</m:t>
            </m:r>
            <m:r>
              <m:t>j</m:t>
            </m:r>
          </m:sub>
        </m:sSub>
      </m:oMath>
      <w:r>
        <w:t xml:space="preserve">: Il valore percentuale della previsione per l’anno</w:t>
      </w:r>
      <w:r>
        <w:t xml:space="preserve"> </w:t>
      </w:r>
      <m:oMath>
        <m:r>
          <m:t>j</m:t>
        </m:r>
      </m:oMath>
      <w:r>
        <w:t xml:space="preserve"> </w:t>
      </w:r>
      <w:r>
        <w:t xml:space="preserve">e il plot</w:t>
      </w:r>
      <w:r>
        <w:t xml:space="preserve"> </w:t>
      </w:r>
      <m:oMath>
        <m:r>
          <m:t>i</m:t>
        </m:r>
      </m:oMath>
      <w:r>
        <w:t xml:space="preserve">.</w:t>
      </w:r>
      <w:r>
        <w:t xml:space="preserve"> </w:t>
      </w:r>
      <w:r>
        <w:t xml:space="preserve">-</w:t>
      </w:r>
      <w:r>
        <w:t xml:space="preserve"> </w:t>
      </w:r>
      <m:oMath>
        <m:r>
          <m:t>T</m:t>
        </m:r>
      </m:oMath>
      <w:r>
        <w:t xml:space="preserve">: La soglia predefinita (ad esempio, 50% o 0.5).</w:t>
      </w:r>
      <w:r>
        <w:t xml:space="preserve"> </w:t>
      </w:r>
      <w:r>
        <w:t xml:space="preserve">-</w:t>
      </w:r>
      <w:r>
        <w:t xml:space="preserve"> </w:t>
      </w:r>
      <m:oMath>
        <m:sSub>
          <m:e>
            <m:r>
              <m:t>P</m:t>
            </m:r>
          </m:e>
          <m:sub>
            <m:r>
              <m:t>i</m:t>
            </m:r>
            <m:r>
              <m:t>j</m:t>
            </m:r>
          </m:sub>
        </m:sSub>
      </m:oMath>
      <w:r>
        <w:t xml:space="preserve">: Un indicatore binario che definisce se la percentuale</w:t>
      </w:r>
      <w:r>
        <w:t xml:space="preserve"> </w:t>
      </w:r>
      <m:oMath>
        <m:sSub>
          <m:e>
            <m:r>
              <m:t>X</m:t>
            </m:r>
          </m:e>
          <m:sub>
            <m:r>
              <m:t>i</m:t>
            </m:r>
            <m:r>
              <m:t>j</m:t>
            </m:r>
          </m:sub>
        </m:sSub>
      </m:oMath>
      <w:r>
        <w:t xml:space="preserve"> </w:t>
      </w:r>
      <w:r>
        <w:t xml:space="preserve">supera la soglia. Quindi:</w:t>
      </w:r>
    </w:p>
    <w:p>
      <w:pPr>
        <w:pStyle w:val="BodyText"/>
      </w:pPr>
      <m:oMathPara>
        <m:oMathParaPr>
          <m:jc m:val="center"/>
        </m:oMathParaPr>
        <m:oMath>
          <m:sSub>
            <m:e>
              <m:r>
                <m:t>P</m:t>
              </m:r>
            </m:e>
            <m:sub>
              <m:r>
                <m:t>i</m:t>
              </m:r>
              <m:r>
                <m:t>j</m:t>
              </m:r>
            </m:sub>
          </m:sSub>
          <m:r>
            <m:rPr>
              <m:sty m:val="p"/>
            </m:rPr>
            <m:t>=</m:t>
          </m:r>
          <m:d>
            <m:dPr>
              <m:begChr m:val="{"/>
              <m:endChr m:val=""/>
              <m:sepChr m:val=""/>
              <m:grow/>
            </m:dPr>
            <m:e>
              <m:m>
                <m:mPr>
                  <m:baseJc m:val="center"/>
                  <m:plcHide m:val="1"/>
                  <m:mcs>
                    <m:mc>
                      <m:mcPr>
                        <m:mcJc m:val="left"/>
                        <m:count m:val="1"/>
                      </m:mcPr>
                    </m:mc>
                    <m:mc>
                      <m:mcPr>
                        <m:mcJc m:val="left"/>
                        <m:count m:val="1"/>
                      </m:mcPr>
                    </m:mc>
                  </m:mcs>
                </m:mPr>
                <m:mr>
                  <m:e>
                    <m:r>
                      <m:t>1</m:t>
                    </m:r>
                  </m:e>
                  <m:e>
                    <m:r>
                      <m:rPr>
                        <m:nor/>
                        <m:sty m:val="p"/>
                      </m:rPr>
                      <m:t>se </m:t>
                    </m:r>
                    <m:sSub>
                      <m:e>
                        <m:r>
                          <m:t>X</m:t>
                        </m:r>
                      </m:e>
                      <m:sub>
                        <m:r>
                          <m:t>i</m:t>
                        </m:r>
                        <m:r>
                          <m:t>j</m:t>
                        </m:r>
                      </m:sub>
                    </m:sSub>
                    <m:r>
                      <m:rPr>
                        <m:sty m:val="p"/>
                      </m:rPr>
                      <m:t>&gt;</m:t>
                    </m:r>
                    <m:r>
                      <m:t>T</m:t>
                    </m:r>
                  </m:e>
                </m:mr>
                <m:mr>
                  <m:e>
                    <m:r>
                      <m:t>0</m:t>
                    </m:r>
                  </m:e>
                  <m:e>
                    <m:r>
                      <m:rPr>
                        <m:nor/>
                        <m:sty m:val="p"/>
                      </m:rPr>
                      <m:t>se </m:t>
                    </m:r>
                    <m:sSub>
                      <m:e>
                        <m:r>
                          <m:t>X</m:t>
                        </m:r>
                      </m:e>
                      <m:sub>
                        <m:r>
                          <m:t>i</m:t>
                        </m:r>
                        <m:r>
                          <m:t>j</m:t>
                        </m:r>
                      </m:sub>
                    </m:sSub>
                    <m:r>
                      <m:rPr>
                        <m:sty m:val="p"/>
                      </m:rPr>
                      <m:t>≤</m:t>
                    </m:r>
                    <m:r>
                      <m:t>T</m:t>
                    </m:r>
                  </m:e>
                </m:mr>
              </m:m>
            </m:e>
          </m:d>
        </m:oMath>
      </m:oMathPara>
    </w:p>
    <w:p>
      <w:pPr>
        <w:pStyle w:val="FirstParagraph"/>
      </w:pPr>
      <w:r>
        <w:t xml:space="preserve">Dove</w:t>
      </w:r>
      <w:r>
        <w:t xml:space="preserve"> </w:t>
      </w:r>
      <m:oMath>
        <m:sSub>
          <m:e>
            <m:r>
              <m:t>P</m:t>
            </m:r>
          </m:e>
          <m:sub>
            <m:r>
              <m:t>i</m:t>
            </m:r>
            <m:r>
              <m:t>j</m:t>
            </m:r>
          </m:sub>
        </m:sSub>
      </m:oMath>
      <w:r>
        <w:t xml:space="preserve"> </w:t>
      </w:r>
      <w:r>
        <w:t xml:space="preserve">è 1 quando la percentuale</w:t>
      </w:r>
      <w:r>
        <w:t xml:space="preserve"> </w:t>
      </w:r>
      <m:oMath>
        <m:sSub>
          <m:e>
            <m:r>
              <m:t>X</m:t>
            </m:r>
          </m:e>
          <m:sub>
            <m:r>
              <m:t>i</m:t>
            </m:r>
            <m:r>
              <m:t>j</m:t>
            </m:r>
          </m:sub>
        </m:sSub>
      </m:oMath>
      <w:r>
        <w:t xml:space="preserve"> </w:t>
      </w:r>
      <w:r>
        <w:t xml:space="preserve">supera la soglia, e 0 quando non la supera.</w:t>
      </w:r>
    </w:p>
    <w:p>
      <w:r>
        <w:pict>
          <v:rect style="width:0;height:1.5pt" o:hralign="center" o:hrstd="t" o:hr="t"/>
        </w:pict>
      </w:r>
    </w:p>
    <w:bookmarkStart w:id="20" w:name="X295b2b5233f43bf820d4dfbca34d7d08e5c79c0"/>
    <w:p>
      <w:pPr>
        <w:pStyle w:val="Heading3"/>
      </w:pPr>
      <w:r>
        <w:t xml:space="preserve">Passo 1: Percentuale di anni in cui ogni plot supera la soglia</w:t>
      </w:r>
    </w:p>
    <w:p>
      <w:pPr>
        <w:pStyle w:val="FirstParagraph"/>
      </w:pPr>
      <w:r>
        <w:t xml:space="preserve">Per ogni</w:t>
      </w:r>
      <w:r>
        <w:t xml:space="preserve"> </w:t>
      </w:r>
      <w:r>
        <w:rPr>
          <w:bCs/>
          <w:b/>
        </w:rPr>
        <w:t xml:space="preserve">plot</w:t>
      </w:r>
      <w:r>
        <w:t xml:space="preserve"> </w:t>
      </w:r>
      <m:oMath>
        <m:r>
          <m:t>i</m:t>
        </m:r>
      </m:oMath>
      <w:r>
        <w:t xml:space="preserve">, calcoliamo la percentuale di anni in cui il plot supera la soglia. Questo si fa sommando gli indicatori</w:t>
      </w:r>
      <w:r>
        <w:t xml:space="preserve"> </w:t>
      </w:r>
      <m:oMath>
        <m:sSub>
          <m:e>
            <m:r>
              <m:t>P</m:t>
            </m:r>
          </m:e>
          <m:sub>
            <m:r>
              <m:t>i</m:t>
            </m:r>
            <m:r>
              <m:t>j</m:t>
            </m:r>
          </m:sub>
        </m:sSub>
      </m:oMath>
      <w:r>
        <w:t xml:space="preserve"> </w:t>
      </w:r>
      <w:r>
        <w:t xml:space="preserve">(cioè quante volte il plot ha superato la soglia) e dividendo per il numero di anni distinti</w:t>
      </w:r>
      <w:r>
        <w:t xml:space="preserve"> </w:t>
      </w:r>
      <m:oMath>
        <m:sSub>
          <m:e>
            <m:r>
              <m:t>Y</m:t>
            </m:r>
          </m:e>
          <m:sub>
            <m:r>
              <m:t>i</m:t>
            </m:r>
          </m:sub>
        </m:sSub>
      </m:oMath>
      <w:r>
        <w:t xml:space="preserve"> </w:t>
      </w:r>
      <w:r>
        <w:t xml:space="preserve">per quel plot:</w:t>
      </w:r>
    </w:p>
    <w:p>
      <w:pPr>
        <w:pStyle w:val="BodyText"/>
      </w:pPr>
      <m:oMathPara>
        <m:oMathParaPr>
          <m:jc m:val="center"/>
        </m:oMathParaPr>
        <m:oMath>
          <m:sSub>
            <m:e>
              <m:r>
                <m:rPr>
                  <m:nor/>
                  <m:sty m:val="p"/>
                </m:rPr>
                <m:t>percentuale</m:t>
              </m:r>
            </m:e>
            <m:sub>
              <m:r>
                <m:t>i</m:t>
              </m:r>
            </m:sub>
          </m:sSub>
          <m:r>
            <m:rPr>
              <m:sty m:val="p"/>
            </m:rPr>
            <m:t>=</m:t>
          </m:r>
          <m:f>
            <m:fPr>
              <m:type m:val="bar"/>
            </m:fPr>
            <m:num>
              <m:r>
                <m:t>1</m:t>
              </m:r>
            </m:num>
            <m:den>
              <m:sSub>
                <m:e>
                  <m:r>
                    <m:t>Y</m:t>
                  </m:r>
                </m:e>
                <m:sub>
                  <m:r>
                    <m:t>i</m:t>
                  </m:r>
                </m:sub>
              </m:sSub>
            </m:den>
          </m:f>
          <m:nary>
            <m:naryPr>
              <m:chr m:val="∑"/>
              <m:limLoc m:val="undOvr"/>
              <m:subHide m:val="0"/>
              <m:supHide m:val="0"/>
            </m:naryPr>
            <m:sub>
              <m:r>
                <m:t>j</m:t>
              </m:r>
              <m:r>
                <m:rPr>
                  <m:sty m:val="p"/>
                </m:rPr>
                <m:t>=</m:t>
              </m:r>
              <m:r>
                <m:t>1</m:t>
              </m:r>
            </m:sub>
            <m:sup>
              <m:sSub>
                <m:e>
                  <m:r>
                    <m:t>Y</m:t>
                  </m:r>
                </m:e>
                <m:sub>
                  <m:r>
                    <m:t>i</m:t>
                  </m:r>
                </m:sub>
              </m:sSub>
            </m:sup>
            <m:e>
              <m:sSub>
                <m:e>
                  <m:r>
                    <m:t>P</m:t>
                  </m:r>
                </m:e>
                <m:sub>
                  <m:r>
                    <m:t>i</m:t>
                  </m:r>
                  <m:r>
                    <m:t>j</m:t>
                  </m:r>
                </m:sub>
              </m:sSub>
            </m:e>
          </m:nary>
        </m:oMath>
      </m:oMathPara>
    </w:p>
    <w:p>
      <w:pPr>
        <w:pStyle w:val="FirstParagraph"/>
      </w:pPr>
      <w:r>
        <w:t xml:space="preserve">Questa formula ci dà la frazione di anni in cui il plot</w:t>
      </w:r>
      <w:r>
        <w:t xml:space="preserve"> </w:t>
      </w:r>
      <m:oMath>
        <m:r>
          <m:t>i</m:t>
        </m:r>
      </m:oMath>
      <w:r>
        <w:t xml:space="preserve"> </w:t>
      </w:r>
      <w:r>
        <w:t xml:space="preserve">ha superato la soglia.</w:t>
      </w:r>
    </w:p>
    <w:p>
      <w:r>
        <w:pict>
          <v:rect style="width:0;height:1.5pt" o:hralign="center" o:hrstd="t" o:hr="t"/>
        </w:pict>
      </w:r>
    </w:p>
    <w:bookmarkEnd w:id="20"/>
    <w:bookmarkStart w:id="21" w:name="X7f1dc68c6f53bff9a3a84234986da91f7f4540d"/>
    <w:p>
      <w:pPr>
        <w:pStyle w:val="Heading3"/>
      </w:pPr>
      <w:r>
        <w:t xml:space="preserve">Passo 2: Media delle percentuali per categoria</w:t>
      </w:r>
    </w:p>
    <w:p>
      <w:pPr>
        <w:pStyle w:val="FirstParagraph"/>
      </w:pPr>
      <w:r>
        <w:t xml:space="preserve">Una volta che abbiamo calcolato la percentuale di anni per ogni plot, vogliamo aggregare queste informazioni per la categoria di foresta. Per fare ciò, calcoliamo la media delle percentuali sopra la soglia per tutti i plot in una determinata categoria di foresta. Se</w:t>
      </w:r>
      <w:r>
        <w:t xml:space="preserve"> </w:t>
      </w:r>
      <m:oMath>
        <m:sSub>
          <m:e>
            <m:r>
              <m:t>N</m:t>
            </m:r>
          </m:e>
          <m:sub>
            <m:r>
              <m:t>c</m:t>
            </m:r>
            <m:r>
              <m:t>a</m:t>
            </m:r>
            <m:r>
              <m:t>t</m:t>
            </m:r>
          </m:sub>
        </m:sSub>
      </m:oMath>
      <w:r>
        <w:t xml:space="preserve"> </w:t>
      </w:r>
      <w:r>
        <w:t xml:space="preserve">è il numero totale di plot in una categoria, allora la probabilità media di superamento della soglia per la categoria di foresta è:</w:t>
      </w:r>
    </w:p>
    <w:p>
      <w:pPr>
        <w:pStyle w:val="BodyText"/>
      </w:pPr>
      <m:oMathPara>
        <m:oMathParaPr>
          <m:jc m:val="center"/>
        </m:oMathParaPr>
        <m:oMath>
          <m:sSub>
            <m:e>
              <m:r>
                <m:rPr>
                  <m:nor/>
                  <m:sty m:val="p"/>
                </m:rPr>
                <m:t>probabilità media</m:t>
              </m:r>
            </m:e>
            <m:sub>
              <m:r>
                <m:t>c</m:t>
              </m:r>
              <m:r>
                <m:t>a</m:t>
              </m:r>
              <m:r>
                <m:t>t</m:t>
              </m:r>
            </m:sub>
          </m:sSub>
          <m:r>
            <m:rPr>
              <m:sty m:val="p"/>
            </m:rPr>
            <m:t>=</m:t>
          </m:r>
          <m:f>
            <m:fPr>
              <m:type m:val="bar"/>
            </m:fPr>
            <m:num>
              <m:r>
                <m:t>1</m:t>
              </m:r>
            </m:num>
            <m:den>
              <m:sSub>
                <m:e>
                  <m:r>
                    <m:t>N</m:t>
                  </m:r>
                </m:e>
                <m:sub>
                  <m:r>
                    <m:t>c</m:t>
                  </m:r>
                  <m:r>
                    <m:t>a</m:t>
                  </m:r>
                  <m:r>
                    <m:t>t</m:t>
                  </m:r>
                </m:sub>
              </m:sSub>
            </m:den>
          </m:f>
          <m:nary>
            <m:naryPr>
              <m:chr m:val="∑"/>
              <m:limLoc m:val="undOvr"/>
              <m:subHide m:val="0"/>
              <m:supHide m:val="0"/>
            </m:naryPr>
            <m:sub>
              <m:r>
                <m:t>i</m:t>
              </m:r>
              <m:r>
                <m:rPr>
                  <m:sty m:val="p"/>
                </m:rPr>
                <m:t>=</m:t>
              </m:r>
              <m:r>
                <m:t>1</m:t>
              </m:r>
            </m:sub>
            <m:sup>
              <m:sSub>
                <m:e>
                  <m:r>
                    <m:t>N</m:t>
                  </m:r>
                </m:e>
                <m:sub>
                  <m:r>
                    <m:t>c</m:t>
                  </m:r>
                  <m:r>
                    <m:t>a</m:t>
                  </m:r>
                  <m:r>
                    <m:t>t</m:t>
                  </m:r>
                </m:sub>
              </m:sSub>
            </m:sup>
            <m:e>
              <m:sSub>
                <m:e>
                  <m:r>
                    <m:rPr>
                      <m:nor/>
                      <m:sty m:val="p"/>
                    </m:rPr>
                    <m:t>percentuale</m:t>
                  </m:r>
                </m:e>
                <m:sub>
                  <m:r>
                    <m:t>i</m:t>
                  </m:r>
                </m:sub>
              </m:sSub>
            </m:e>
          </m:nary>
        </m:oMath>
      </m:oMathPara>
    </w:p>
    <w:p>
      <w:pPr>
        <w:pStyle w:val="FirstParagraph"/>
      </w:pPr>
      <w:r>
        <w:t xml:space="preserve">Dove</w:t>
      </w:r>
      <w:r>
        <w:t xml:space="preserve"> </w:t>
      </w:r>
      <m:oMath>
        <m:sSub>
          <m:e>
            <m:r>
              <m:rPr>
                <m:nor/>
                <m:sty m:val="p"/>
              </m:rPr>
              <m:t>percentuale</m:t>
            </m:r>
          </m:e>
          <m:sub>
            <m:r>
              <m:t>i</m:t>
            </m:r>
          </m:sub>
        </m:sSub>
      </m:oMath>
      <w:r>
        <w:t xml:space="preserve"> </w:t>
      </w:r>
      <w:r>
        <w:t xml:space="preserve">è la frazione di anni in cui il plot</w:t>
      </w:r>
      <w:r>
        <w:t xml:space="preserve"> </w:t>
      </w:r>
      <m:oMath>
        <m:r>
          <m:t>i</m:t>
        </m:r>
      </m:oMath>
      <w:r>
        <w:t xml:space="preserve"> </w:t>
      </w:r>
      <w:r>
        <w:t xml:space="preserve">ha superato la soglia.</w:t>
      </w:r>
    </w:p>
    <w:p>
      <w:r>
        <w:pict>
          <v:rect style="width:0;height:1.5pt" o:hralign="center" o:hrstd="t" o:hr="t"/>
        </w:pict>
      </w:r>
    </w:p>
    <w:bookmarkEnd w:id="21"/>
    <w:bookmarkStart w:id="22" w:name="X2df5ba348753cd10f5159245f50b448cf492538"/>
    <w:p>
      <w:pPr>
        <w:pStyle w:val="Heading3"/>
      </w:pPr>
      <w:r>
        <w:t xml:space="preserve">Passo 3: Normalizzazione della probabilità</w:t>
      </w:r>
    </w:p>
    <w:p>
      <w:pPr>
        <w:pStyle w:val="FirstParagraph"/>
      </w:pPr>
      <w:r>
        <w:t xml:space="preserve">Per rendere il nostro indice relativo e comparabile tra le categorie, dobbiamo normalizzare la probabilità media di ogni categoria. Questo significa che dobbiamo dividere la probabilità media di superamento della soglia per la somma totale delle probabilità medie di tutte le categorie. Se</w:t>
      </w:r>
      <w:r>
        <w:t xml:space="preserve"> </w:t>
      </w:r>
      <m:oMath>
        <m:sSub>
          <m:e>
            <m:r>
              <m:t>S</m:t>
            </m:r>
          </m:e>
          <m:sub>
            <m:r>
              <m:t>t</m:t>
            </m:r>
            <m:r>
              <m:t>o</m:t>
            </m:r>
            <m:r>
              <m:t>t</m:t>
            </m:r>
            <m:r>
              <m:t>a</m:t>
            </m:r>
            <m:r>
              <m:t>l</m:t>
            </m:r>
          </m:sub>
        </m:sSub>
      </m:oMath>
      <w:r>
        <w:t xml:space="preserve"> </w:t>
      </w:r>
      <w:r>
        <w:t xml:space="preserve">è la somma di tutte le probabilità medie delle categorie, la probabilità normalizzata di una categoria</w:t>
      </w:r>
      <w:r>
        <w:t xml:space="preserve"> </w:t>
      </w:r>
      <m:oMath>
        <m:r>
          <m:t>c</m:t>
        </m:r>
        <m:r>
          <m:t>a</m:t>
        </m:r>
        <m:r>
          <m:t>t</m:t>
        </m:r>
      </m:oMath>
      <w:r>
        <w:t xml:space="preserve"> </w:t>
      </w:r>
      <w:r>
        <w:t xml:space="preserve">è:</w:t>
      </w:r>
    </w:p>
    <w:p>
      <w:pPr>
        <w:pStyle w:val="BodyText"/>
      </w:pPr>
      <m:oMathPara>
        <m:oMathParaPr>
          <m:jc m:val="center"/>
        </m:oMathParaPr>
        <m:oMath>
          <m:sSub>
            <m:e>
              <m:r>
                <m:rPr>
                  <m:nor/>
                  <m:sty m:val="p"/>
                </m:rPr>
                <m:t>probabilità normalizzata</m:t>
              </m:r>
            </m:e>
            <m:sub>
              <m:r>
                <m:t>c</m:t>
              </m:r>
              <m:r>
                <m:t>a</m:t>
              </m:r>
              <m:r>
                <m:t>t</m:t>
              </m:r>
            </m:sub>
          </m:sSub>
          <m:r>
            <m:rPr>
              <m:sty m:val="p"/>
            </m:rPr>
            <m:t>=</m:t>
          </m:r>
          <m:f>
            <m:fPr>
              <m:type m:val="bar"/>
            </m:fPr>
            <m:num>
              <m:sSub>
                <m:e>
                  <m:r>
                    <m:rPr>
                      <m:nor/>
                      <m:sty m:val="p"/>
                    </m:rPr>
                    <m:t>probabilità media</m:t>
                  </m:r>
                </m:e>
                <m:sub>
                  <m:r>
                    <m:t>c</m:t>
                  </m:r>
                  <m:r>
                    <m:t>a</m:t>
                  </m:r>
                  <m:r>
                    <m:t>t</m:t>
                  </m:r>
                </m:sub>
              </m:sSub>
            </m:num>
            <m:den>
              <m:sSub>
                <m:e>
                  <m:r>
                    <m:t>S</m:t>
                  </m:r>
                </m:e>
                <m:sub>
                  <m:r>
                    <m:t>t</m:t>
                  </m:r>
                  <m:r>
                    <m:t>o</m:t>
                  </m:r>
                  <m:r>
                    <m:t>t</m:t>
                  </m:r>
                  <m:r>
                    <m:t>a</m:t>
                  </m:r>
                  <m:r>
                    <m:t>l</m:t>
                  </m:r>
                </m:sub>
              </m:sSub>
            </m:den>
          </m:f>
        </m:oMath>
      </m:oMathPara>
    </w:p>
    <w:p>
      <w:pPr>
        <w:pStyle w:val="FirstParagraph"/>
      </w:pPr>
      <w:r>
        <w:t xml:space="preserve">Dove</w:t>
      </w:r>
      <w:r>
        <w:t xml:space="preserve"> </w:t>
      </w:r>
      <m:oMath>
        <m:sSub>
          <m:e>
            <m:r>
              <m:t>S</m:t>
            </m:r>
          </m:e>
          <m:sub>
            <m:r>
              <m:t>t</m:t>
            </m:r>
            <m:r>
              <m:t>o</m:t>
            </m:r>
            <m:r>
              <m:t>t</m:t>
            </m:r>
            <m:r>
              <m:t>a</m:t>
            </m:r>
            <m:r>
              <m:t>l</m:t>
            </m:r>
          </m:sub>
        </m:sSub>
      </m:oMath>
      <w:r>
        <w:t xml:space="preserve"> </w:t>
      </w:r>
      <w:r>
        <w:t xml:space="preserve">è la somma delle probabilità medie per tutte le categorie:</w:t>
      </w:r>
    </w:p>
    <w:p>
      <w:pPr>
        <w:pStyle w:val="BodyText"/>
      </w:pPr>
      <m:oMathPara>
        <m:oMathParaPr>
          <m:jc m:val="center"/>
        </m:oMathParaPr>
        <m:oMath>
          <m:sSub>
            <m:e>
              <m:r>
                <m:t>S</m:t>
              </m:r>
            </m:e>
            <m:sub>
              <m:r>
                <m:t>t</m:t>
              </m:r>
              <m:r>
                <m:t>o</m:t>
              </m:r>
              <m:r>
                <m:t>t</m:t>
              </m:r>
              <m:r>
                <m:t>a</m:t>
              </m:r>
              <m:r>
                <m:t>l</m:t>
              </m:r>
            </m:sub>
          </m:sSub>
          <m:r>
            <m:rPr>
              <m:sty m:val="p"/>
            </m:rPr>
            <m:t>=</m:t>
          </m:r>
          <m:nary>
            <m:naryPr>
              <m:chr m:val="∑"/>
              <m:limLoc m:val="undOvr"/>
              <m:subHide m:val="0"/>
              <m:supHide m:val="0"/>
            </m:naryPr>
            <m:sub>
              <m:r>
                <m:t>c</m:t>
              </m:r>
              <m:r>
                <m:t>a</m:t>
              </m:r>
              <m:r>
                <m:t>t</m:t>
              </m:r>
              <m:r>
                <m:rPr>
                  <m:sty m:val="p"/>
                </m:rPr>
                <m:t>=</m:t>
              </m:r>
              <m:r>
                <m:t>1</m:t>
              </m:r>
            </m:sub>
            <m:sup>
              <m:sSub>
                <m:e>
                  <m:r>
                    <m:t>N</m:t>
                  </m:r>
                </m:e>
                <m:sub>
                  <m:r>
                    <m:t>c</m:t>
                  </m:r>
                  <m:r>
                    <m:t>a</m:t>
                  </m:r>
                  <m:r>
                    <m:t>t</m:t>
                  </m:r>
                  <m:r>
                    <m:t>e</m:t>
                  </m:r>
                  <m:r>
                    <m:t>g</m:t>
                  </m:r>
                  <m:r>
                    <m:t>o</m:t>
                  </m:r>
                  <m:r>
                    <m:t>r</m:t>
                  </m:r>
                  <m:r>
                    <m:t>i</m:t>
                  </m:r>
                  <m:r>
                    <m:t>e</m:t>
                  </m:r>
                  <m:r>
                    <m:t>s</m:t>
                  </m:r>
                </m:sub>
              </m:sSub>
            </m:sup>
            <m:e>
              <m:sSub>
                <m:e>
                  <m:r>
                    <m:rPr>
                      <m:nor/>
                      <m:sty m:val="p"/>
                    </m:rPr>
                    <m:t>probabilità media</m:t>
                  </m:r>
                </m:e>
                <m:sub>
                  <m:r>
                    <m:t>c</m:t>
                  </m:r>
                  <m:r>
                    <m:t>a</m:t>
                  </m:r>
                  <m:r>
                    <m:t>t</m:t>
                  </m:r>
                </m:sub>
              </m:sSub>
            </m:e>
          </m:nary>
        </m:oMath>
      </m:oMathPara>
    </w:p>
    <w:p>
      <w:r>
        <w:pict>
          <v:rect style="width:0;height:1.5pt" o:hralign="center" o:hrstd="t" o:hr="t"/>
        </w:pict>
      </w:r>
    </w:p>
    <w:bookmarkEnd w:id="22"/>
    <w:bookmarkStart w:id="23" w:name="riassunto-delle-formule"/>
    <w:p>
      <w:pPr>
        <w:pStyle w:val="Heading3"/>
      </w:pPr>
      <w:r>
        <w:t xml:space="preserve">Riassunto delle formule</w:t>
      </w:r>
    </w:p>
    <w:p>
      <w:pPr>
        <w:numPr>
          <w:ilvl w:val="0"/>
          <w:numId w:val="1001"/>
        </w:numPr>
      </w:pPr>
      <w:r>
        <w:rPr>
          <w:bCs/>
          <w:b/>
        </w:rPr>
        <w:t xml:space="preserve">Percentuale di anni in cui il plot supera la soglia</w:t>
      </w:r>
      <w:r>
        <w:t xml:space="preserve">:</w:t>
      </w:r>
    </w:p>
    <w:p>
      <w:pPr>
        <w:pStyle w:val="BodyText"/>
      </w:pPr>
      <m:oMathPara>
        <m:oMathParaPr>
          <m:jc m:val="center"/>
        </m:oMathParaPr>
        <m:oMath>
          <m:sSub>
            <m:e>
              <m:r>
                <m:rPr>
                  <m:nor/>
                  <m:sty m:val="p"/>
                </m:rPr>
                <m:t>percentuale</m:t>
              </m:r>
            </m:e>
            <m:sub>
              <m:r>
                <m:t>i</m:t>
              </m:r>
            </m:sub>
          </m:sSub>
          <m:r>
            <m:rPr>
              <m:sty m:val="p"/>
            </m:rPr>
            <m:t>=</m:t>
          </m:r>
          <m:f>
            <m:fPr>
              <m:type m:val="bar"/>
            </m:fPr>
            <m:num>
              <m:r>
                <m:t>1</m:t>
              </m:r>
            </m:num>
            <m:den>
              <m:sSub>
                <m:e>
                  <m:r>
                    <m:t>Y</m:t>
                  </m:r>
                </m:e>
                <m:sub>
                  <m:r>
                    <m:t>i</m:t>
                  </m:r>
                </m:sub>
              </m:sSub>
            </m:den>
          </m:f>
          <m:nary>
            <m:naryPr>
              <m:chr m:val="∑"/>
              <m:limLoc m:val="undOvr"/>
              <m:subHide m:val="0"/>
              <m:supHide m:val="0"/>
            </m:naryPr>
            <m:sub>
              <m:r>
                <m:t>j</m:t>
              </m:r>
              <m:r>
                <m:rPr>
                  <m:sty m:val="p"/>
                </m:rPr>
                <m:t>=</m:t>
              </m:r>
              <m:r>
                <m:t>1</m:t>
              </m:r>
            </m:sub>
            <m:sup>
              <m:sSub>
                <m:e>
                  <m:r>
                    <m:t>Y</m:t>
                  </m:r>
                </m:e>
                <m:sub>
                  <m:r>
                    <m:t>i</m:t>
                  </m:r>
                </m:sub>
              </m:sSub>
            </m:sup>
            <m:e>
              <m:sSub>
                <m:e>
                  <m:r>
                    <m:t>P</m:t>
                  </m:r>
                </m:e>
                <m:sub>
                  <m:r>
                    <m:t>i</m:t>
                  </m:r>
                  <m:r>
                    <m:t>j</m:t>
                  </m:r>
                </m:sub>
              </m:sSub>
            </m:e>
          </m:nary>
        </m:oMath>
      </m:oMathPara>
    </w:p>
    <w:p>
      <w:pPr>
        <w:numPr>
          <w:ilvl w:val="0"/>
          <w:numId w:val="1001"/>
        </w:numPr>
      </w:pPr>
      <w:r>
        <w:rPr>
          <w:bCs/>
          <w:b/>
        </w:rPr>
        <w:t xml:space="preserve">Probabilità media di superamento per categoria</w:t>
      </w:r>
      <w:r>
        <w:t xml:space="preserve">:</w:t>
      </w:r>
    </w:p>
    <w:p>
      <w:pPr>
        <w:pStyle w:val="BodyText"/>
      </w:pPr>
      <m:oMathPara>
        <m:oMathParaPr>
          <m:jc m:val="center"/>
        </m:oMathParaPr>
        <m:oMath>
          <m:sSub>
            <m:e>
              <m:r>
                <m:rPr>
                  <m:nor/>
                  <m:sty m:val="p"/>
                </m:rPr>
                <m:t>probabilità media</m:t>
              </m:r>
            </m:e>
            <m:sub>
              <m:r>
                <m:t>c</m:t>
              </m:r>
              <m:r>
                <m:t>a</m:t>
              </m:r>
              <m:r>
                <m:t>t</m:t>
              </m:r>
            </m:sub>
          </m:sSub>
          <m:r>
            <m:rPr>
              <m:sty m:val="p"/>
            </m:rPr>
            <m:t>=</m:t>
          </m:r>
          <m:f>
            <m:fPr>
              <m:type m:val="bar"/>
            </m:fPr>
            <m:num>
              <m:r>
                <m:t>1</m:t>
              </m:r>
            </m:num>
            <m:den>
              <m:sSub>
                <m:e>
                  <m:r>
                    <m:t>N</m:t>
                  </m:r>
                </m:e>
                <m:sub>
                  <m:r>
                    <m:t>c</m:t>
                  </m:r>
                  <m:r>
                    <m:t>a</m:t>
                  </m:r>
                  <m:r>
                    <m:t>t</m:t>
                  </m:r>
                </m:sub>
              </m:sSub>
            </m:den>
          </m:f>
          <m:nary>
            <m:naryPr>
              <m:chr m:val="∑"/>
              <m:limLoc m:val="undOvr"/>
              <m:subHide m:val="0"/>
              <m:supHide m:val="0"/>
            </m:naryPr>
            <m:sub>
              <m:r>
                <m:t>i</m:t>
              </m:r>
              <m:r>
                <m:rPr>
                  <m:sty m:val="p"/>
                </m:rPr>
                <m:t>=</m:t>
              </m:r>
              <m:r>
                <m:t>1</m:t>
              </m:r>
            </m:sub>
            <m:sup>
              <m:sSub>
                <m:e>
                  <m:r>
                    <m:t>N</m:t>
                  </m:r>
                </m:e>
                <m:sub>
                  <m:r>
                    <m:t>c</m:t>
                  </m:r>
                  <m:r>
                    <m:t>a</m:t>
                  </m:r>
                  <m:r>
                    <m:t>t</m:t>
                  </m:r>
                </m:sub>
              </m:sSub>
            </m:sup>
            <m:e>
              <m:sSub>
                <m:e>
                  <m:r>
                    <m:rPr>
                      <m:nor/>
                      <m:sty m:val="p"/>
                    </m:rPr>
                    <m:t>percentuale</m:t>
                  </m:r>
                </m:e>
                <m:sub>
                  <m:r>
                    <m:t>i</m:t>
                  </m:r>
                </m:sub>
              </m:sSub>
            </m:e>
          </m:nary>
        </m:oMath>
      </m:oMathPara>
    </w:p>
    <w:p>
      <w:pPr>
        <w:numPr>
          <w:ilvl w:val="0"/>
          <w:numId w:val="1001"/>
        </w:numPr>
      </w:pPr>
      <w:r>
        <w:rPr>
          <w:bCs/>
          <w:b/>
        </w:rPr>
        <w:t xml:space="preserve">Probabilità normalizzata per categoria</w:t>
      </w:r>
      <w:r>
        <w:t xml:space="preserve">:</w:t>
      </w:r>
    </w:p>
    <w:p>
      <w:pPr>
        <w:pStyle w:val="BodyText"/>
      </w:pPr>
      <m:oMathPara>
        <m:oMathParaPr>
          <m:jc m:val="center"/>
        </m:oMathParaPr>
        <m:oMath>
          <m:sSub>
            <m:e>
              <m:r>
                <m:rPr>
                  <m:nor/>
                  <m:sty m:val="p"/>
                </m:rPr>
                <m:t>probabilità normalizzata</m:t>
              </m:r>
            </m:e>
            <m:sub>
              <m:r>
                <m:t>c</m:t>
              </m:r>
              <m:r>
                <m:t>a</m:t>
              </m:r>
              <m:r>
                <m:t>t</m:t>
              </m:r>
            </m:sub>
          </m:sSub>
          <m:r>
            <m:rPr>
              <m:sty m:val="p"/>
            </m:rPr>
            <m:t>=</m:t>
          </m:r>
          <m:f>
            <m:fPr>
              <m:type m:val="bar"/>
            </m:fPr>
            <m:num>
              <m:sSub>
                <m:e>
                  <m:r>
                    <m:rPr>
                      <m:nor/>
                      <m:sty m:val="p"/>
                    </m:rPr>
                    <m:t>probabilità media</m:t>
                  </m:r>
                </m:e>
                <m:sub>
                  <m:r>
                    <m:t>c</m:t>
                  </m:r>
                  <m:r>
                    <m:t>a</m:t>
                  </m:r>
                  <m:r>
                    <m:t>t</m:t>
                  </m:r>
                </m:sub>
              </m:sSub>
            </m:num>
            <m:den>
              <m:sSub>
                <m:e>
                  <m:r>
                    <m:t>S</m:t>
                  </m:r>
                </m:e>
                <m:sub>
                  <m:r>
                    <m:t>t</m:t>
                  </m:r>
                  <m:r>
                    <m:t>o</m:t>
                  </m:r>
                  <m:r>
                    <m:t>t</m:t>
                  </m:r>
                  <m:r>
                    <m:t>a</m:t>
                  </m:r>
                  <m:r>
                    <m:t>l</m:t>
                  </m:r>
                </m:sub>
              </m:sSub>
            </m:den>
          </m:f>
        </m:oMath>
      </m:oMathPara>
    </w:p>
    <w:p>
      <w:r>
        <w:pict>
          <v:rect style="width:0;height:1.5pt" o:hralign="center" o:hrstd="t" o:hr="t"/>
        </w:pict>
      </w:r>
    </w:p>
    <w:p>
      <w:pPr>
        <w:pStyle w:val="FirstParagraph"/>
      </w:pPr>
      <w:r>
        <w:rPr>
          <w:bCs/>
          <w:b/>
        </w:rPr>
        <w:t xml:space="preserve">Dove:</w:t>
      </w:r>
      <w:r>
        <w:t xml:space="preserve"> </w:t>
      </w:r>
      <w:r>
        <w:t xml:space="preserve">-</w:t>
      </w:r>
      <w:r>
        <w:t xml:space="preserve"> </w:t>
      </w:r>
      <m:oMath>
        <m:sSub>
          <m:e>
            <m:r>
              <m:t>Y</m:t>
            </m:r>
          </m:e>
          <m:sub>
            <m:r>
              <m:t>i</m:t>
            </m:r>
          </m:sub>
        </m:sSub>
      </m:oMath>
      <w:r>
        <w:t xml:space="preserve"> </w:t>
      </w:r>
      <w:r>
        <w:t xml:space="preserve">è il numero di anni distinti per il plot</w:t>
      </w:r>
      <w:r>
        <w:t xml:space="preserve"> </w:t>
      </w:r>
      <m:oMath>
        <m:r>
          <m:t>i</m:t>
        </m:r>
      </m:oMath>
      <w:r>
        <w:t xml:space="preserve">,</w:t>
      </w:r>
      <w:r>
        <w:t xml:space="preserve"> </w:t>
      </w:r>
      <w:r>
        <w:t xml:space="preserve">-</w:t>
      </w:r>
      <w:r>
        <w:t xml:space="preserve"> </w:t>
      </w:r>
      <m:oMath>
        <m:sSub>
          <m:e>
            <m:r>
              <m:t>P</m:t>
            </m:r>
          </m:e>
          <m:sub>
            <m:r>
              <m:t>i</m:t>
            </m:r>
            <m:r>
              <m:t>j</m:t>
            </m:r>
          </m:sub>
        </m:sSub>
      </m:oMath>
      <w:r>
        <w:t xml:space="preserve"> </w:t>
      </w:r>
      <w:r>
        <w:t xml:space="preserve">è l’indicatore binario che ci dice se la percentuale</w:t>
      </w:r>
      <w:r>
        <w:t xml:space="preserve"> </w:t>
      </w:r>
      <m:oMath>
        <m:sSub>
          <m:e>
            <m:r>
              <m:t>X</m:t>
            </m:r>
          </m:e>
          <m:sub>
            <m:r>
              <m:t>i</m:t>
            </m:r>
            <m:r>
              <m:t>j</m:t>
            </m:r>
          </m:sub>
        </m:sSub>
      </m:oMath>
      <w:r>
        <w:t xml:space="preserve"> </w:t>
      </w:r>
      <w:r>
        <w:t xml:space="preserve">per l’anno</w:t>
      </w:r>
      <w:r>
        <w:t xml:space="preserve"> </w:t>
      </w:r>
      <m:oMath>
        <m:r>
          <m:t>j</m:t>
        </m:r>
      </m:oMath>
      <w:r>
        <w:t xml:space="preserve"> </w:t>
      </w:r>
      <w:r>
        <w:t xml:space="preserve">del plot</w:t>
      </w:r>
      <w:r>
        <w:t xml:space="preserve"> </w:t>
      </w:r>
      <m:oMath>
        <m:r>
          <m:t>i</m:t>
        </m:r>
      </m:oMath>
      <w:r>
        <w:t xml:space="preserve"> </w:t>
      </w:r>
      <w:r>
        <w:t xml:space="preserve">supera la soglia,</w:t>
      </w:r>
      <w:r>
        <w:t xml:space="preserve"> </w:t>
      </w:r>
      <w:r>
        <w:t xml:space="preserve">-</w:t>
      </w:r>
      <w:r>
        <w:t xml:space="preserve"> </w:t>
      </w:r>
      <m:oMath>
        <m:sSub>
          <m:e>
            <m:r>
              <m:t>N</m:t>
            </m:r>
          </m:e>
          <m:sub>
            <m:r>
              <m:t>c</m:t>
            </m:r>
            <m:r>
              <m:t>a</m:t>
            </m:r>
            <m:r>
              <m:t>t</m:t>
            </m:r>
          </m:sub>
        </m:sSub>
      </m:oMath>
      <w:r>
        <w:t xml:space="preserve"> </w:t>
      </w:r>
      <w:r>
        <w:t xml:space="preserve">è il numero di plot per categoria,</w:t>
      </w:r>
      <w:r>
        <w:t xml:space="preserve"> </w:t>
      </w:r>
      <w:r>
        <w:t xml:space="preserve">-</w:t>
      </w:r>
      <w:r>
        <w:t xml:space="preserve"> </w:t>
      </w:r>
      <m:oMath>
        <m:sSub>
          <m:e>
            <m:r>
              <m:t>S</m:t>
            </m:r>
          </m:e>
          <m:sub>
            <m:r>
              <m:t>t</m:t>
            </m:r>
            <m:r>
              <m:t>o</m:t>
            </m:r>
            <m:r>
              <m:t>t</m:t>
            </m:r>
            <m:r>
              <m:t>a</m:t>
            </m:r>
            <m:r>
              <m:t>l</m:t>
            </m:r>
          </m:sub>
        </m:sSub>
      </m:oMath>
      <w:r>
        <w:t xml:space="preserve"> </w:t>
      </w:r>
      <w:r>
        <w:t xml:space="preserve">è la somma delle probabilità medie di tutte le categorie.</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Indice di Probabilità Relativo</dc:title>
  <dc:creator/>
  <cp:keywords/>
  <dcterms:created xsi:type="dcterms:W3CDTF">2025-03-23T20:56:02Z</dcterms:created>
  <dcterms:modified xsi:type="dcterms:W3CDTF">2025-03-23T20:56:02Z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