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26ACE" w14:textId="77777777" w:rsidR="00A1513A" w:rsidRDefault="00000000">
      <w:pPr>
        <w:pStyle w:val="Title"/>
      </w:pPr>
      <w:r>
        <w:t>Carbon Pools in R</w:t>
      </w:r>
    </w:p>
    <w:p w14:paraId="3D7826F8" w14:textId="77777777" w:rsidR="00A1513A" w:rsidRDefault="00000000">
      <w:pPr>
        <w:pStyle w:val="Author"/>
      </w:pPr>
      <w:r>
        <w:t>Marco Baldo</w:t>
      </w:r>
    </w:p>
    <w:p w14:paraId="457BD288" w14:textId="77777777" w:rsidR="00A1513A" w:rsidRDefault="00000000">
      <w:pPr>
        <w:pStyle w:val="Date"/>
      </w:pPr>
      <w:r>
        <w:t>2024-04-05</w:t>
      </w:r>
    </w:p>
    <w:p w14:paraId="3A488E76" w14:textId="77777777" w:rsidR="00A1513A" w:rsidRDefault="00000000">
      <w:pPr>
        <w:pStyle w:val="FirstParagraph"/>
      </w:pPr>
      <w:r>
        <w:t>Theory behind the statistical function</w:t>
      </w:r>
    </w:p>
    <w:p w14:paraId="0C8E23A8" w14:textId="77777777" w:rsidR="00A1513A" w:rsidRDefault="00000000">
      <w:pPr>
        <w:pStyle w:val="BodyText"/>
      </w:pPr>
      <w:r>
        <w:t xml:space="preserve">The </w:t>
      </w:r>
      <w:r>
        <w:rPr>
          <w:rStyle w:val="VerbatimChar"/>
        </w:rPr>
        <w:t>quantile</w:t>
      </w:r>
      <w:r>
        <w:t xml:space="preserve"> function calculates quantiles based on a specified probability distribution. The formula for calculating the quantiles is based on the definition of quantiles and the probability distribution.</w:t>
      </w:r>
    </w:p>
    <w:p w14:paraId="43FA8EE4" w14:textId="77777777" w:rsidR="00A1513A" w:rsidRDefault="00000000">
      <w:pPr>
        <w:pStyle w:val="BodyText"/>
      </w:pPr>
      <w:r>
        <w:t xml:space="preserve">The formula for the quantile at probability </w:t>
      </w:r>
      <w:r>
        <w:rPr>
          <w:rStyle w:val="VerbatimChar"/>
        </w:rPr>
        <w:t>p</w:t>
      </w:r>
      <w:r>
        <w:t xml:space="preserve"> (where </w:t>
      </w:r>
      <w:r>
        <w:rPr>
          <w:rStyle w:val="VerbatimChar"/>
        </w:rPr>
        <w:t>p</w:t>
      </w:r>
      <w:r>
        <w:t xml:space="preserve"> is a value between 0 and 1) is defined as:</w:t>
      </w:r>
    </w:p>
    <w:p w14:paraId="7E4896C4" w14:textId="77777777" w:rsidR="00A1513A" w:rsidRDefault="00000000">
      <w:pPr>
        <w:pStyle w:val="BodyText"/>
      </w:pPr>
      <m:oMathPara>
        <m:oMathParaPr>
          <m:jc m:val="center"/>
        </m:oMathParaPr>
        <m:oMath>
          <m:r>
            <w:rPr>
              <w:rFonts w:ascii="Cambria Math" w:hAnsi="Cambria Math"/>
            </w:rPr>
            <m:t>Q</m:t>
          </m:r>
          <m:d>
            <m:dPr>
              <m:ctrlPr>
                <w:rPr>
                  <w:rFonts w:ascii="Cambria Math" w:hAnsi="Cambria Math"/>
                </w:rPr>
              </m:ctrlPr>
            </m:dPr>
            <m:e>
              <m:r>
                <w:rPr>
                  <w:rFonts w:ascii="Cambria Math" w:hAnsi="Cambria Math"/>
                </w:rPr>
                <m:t>p</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g</m:t>
              </m:r>
            </m:e>
          </m:d>
          <m:r>
            <m:rPr>
              <m:sty m:val="p"/>
            </m:rPr>
            <w:rPr>
              <w:rFonts w:ascii="Cambria Math" w:hAnsi="Cambria Math"/>
            </w:rPr>
            <m:t>×</m:t>
          </m:r>
          <m:r>
            <w:rPr>
              <w:rFonts w:ascii="Cambria Math" w:hAnsi="Cambria Math"/>
            </w:rPr>
            <m:t>x</m:t>
          </m:r>
          <m:d>
            <m:dPr>
              <m:begChr m:val="["/>
              <m:endChr m:val="]"/>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d>
            <m:dPr>
              <m:begChr m:val="["/>
              <m:endChr m:val="]"/>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1</m:t>
              </m:r>
            </m:e>
          </m:d>
          <m:r>
            <w:rPr>
              <w:rFonts w:ascii="Cambria Math" w:hAnsi="Cambria Math"/>
            </w:rPr>
            <m:t> </m:t>
          </m:r>
          <m:r>
            <m:rPr>
              <m:nor/>
            </m:rPr>
            <m:t>(Eq. 1)</m:t>
          </m:r>
        </m:oMath>
      </m:oMathPara>
    </w:p>
    <w:p w14:paraId="41CCEA85" w14:textId="77777777" w:rsidR="00A1513A" w:rsidRDefault="00000000">
      <w:pPr>
        <w:pStyle w:val="FirstParagraph"/>
      </w:pPr>
      <w:r>
        <w:t>Where:</w:t>
      </w:r>
    </w:p>
    <w:p w14:paraId="6D4DB9F8" w14:textId="77777777" w:rsidR="00A1513A" w:rsidRDefault="00000000">
      <w:pPr>
        <w:pStyle w:val="Compact"/>
        <w:numPr>
          <w:ilvl w:val="0"/>
          <w:numId w:val="2"/>
        </w:numPr>
      </w:pPr>
      <m:oMath>
        <m:r>
          <w:rPr>
            <w:rFonts w:ascii="Cambria Math" w:hAnsi="Cambria Math"/>
          </w:rPr>
          <m:t>Q</m:t>
        </m:r>
        <m:d>
          <m:dPr>
            <m:ctrlPr>
              <w:rPr>
                <w:rFonts w:ascii="Cambria Math" w:hAnsi="Cambria Math"/>
              </w:rPr>
            </m:ctrlPr>
          </m:dPr>
          <m:e>
            <m:r>
              <w:rPr>
                <w:rFonts w:ascii="Cambria Math" w:hAnsi="Cambria Math"/>
              </w:rPr>
              <m:t>p</m:t>
            </m:r>
          </m:e>
        </m:d>
      </m:oMath>
      <w:r>
        <w:t xml:space="preserve"> is the quantile at probability </w:t>
      </w:r>
      <m:oMath>
        <m:r>
          <w:rPr>
            <w:rFonts w:ascii="Cambria Math" w:hAnsi="Cambria Math"/>
          </w:rPr>
          <m:t>p</m:t>
        </m:r>
      </m:oMath>
      <w:r>
        <w:t>.</w:t>
      </w:r>
    </w:p>
    <w:p w14:paraId="59E44E23" w14:textId="77777777" w:rsidR="00A1513A" w:rsidRDefault="00000000">
      <w:pPr>
        <w:pStyle w:val="Compact"/>
        <w:numPr>
          <w:ilvl w:val="0"/>
          <w:numId w:val="2"/>
        </w:numPr>
      </w:pPr>
      <m:oMath>
        <m:r>
          <w:rPr>
            <w:rFonts w:ascii="Cambria Math" w:hAnsi="Cambria Math"/>
          </w:rPr>
          <m:t>x</m:t>
        </m:r>
        <m:d>
          <m:dPr>
            <m:begChr m:val="["/>
            <m:endChr m:val="]"/>
            <m:ctrlPr>
              <w:rPr>
                <w:rFonts w:ascii="Cambria Math" w:hAnsi="Cambria Math"/>
              </w:rPr>
            </m:ctrlPr>
          </m:dPr>
          <m:e>
            <m:r>
              <w:rPr>
                <w:rFonts w:ascii="Cambria Math" w:hAnsi="Cambria Math"/>
              </w:rPr>
              <m:t>j</m:t>
            </m:r>
          </m:e>
        </m:d>
      </m:oMath>
      <w:r>
        <w:t xml:space="preserve"> is the </w:t>
      </w:r>
      <m:oMath>
        <m:r>
          <w:rPr>
            <w:rFonts w:ascii="Cambria Math" w:hAnsi="Cambria Math"/>
          </w:rPr>
          <m:t>j</m:t>
        </m:r>
      </m:oMath>
      <w:r>
        <w:t xml:space="preserve">-th order statistic, which is the data point just below the </w:t>
      </w:r>
      <m:oMath>
        <m:r>
          <w:rPr>
            <w:rFonts w:ascii="Cambria Math" w:hAnsi="Cambria Math"/>
          </w:rPr>
          <m:t>p</m:t>
        </m:r>
      </m:oMath>
      <w:r>
        <w:t>-th percentile.</w:t>
      </w:r>
    </w:p>
    <w:p w14:paraId="2696760C" w14:textId="77777777" w:rsidR="00A1513A" w:rsidRDefault="00000000">
      <w:pPr>
        <w:pStyle w:val="Compact"/>
        <w:numPr>
          <w:ilvl w:val="0"/>
          <w:numId w:val="2"/>
        </w:numPr>
      </w:pPr>
      <m:oMath>
        <m:r>
          <w:rPr>
            <w:rFonts w:ascii="Cambria Math" w:hAnsi="Cambria Math"/>
          </w:rPr>
          <m:t>x</m:t>
        </m:r>
        <m:d>
          <m:dPr>
            <m:begChr m:val="["/>
            <m:endChr m:val="]"/>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1</m:t>
            </m:r>
          </m:e>
        </m:d>
      </m:oMath>
      <w:r>
        <w:t xml:space="preserve"> is the </w:t>
      </w:r>
      <m:oMath>
        <m:r>
          <w:rPr>
            <w:rFonts w:ascii="Cambria Math" w:hAnsi="Cambria Math"/>
          </w:rPr>
          <m:t>j</m:t>
        </m:r>
        <m:r>
          <m:rPr>
            <m:sty m:val="p"/>
          </m:rPr>
          <w:rPr>
            <w:rFonts w:ascii="Cambria Math" w:hAnsi="Cambria Math"/>
          </w:rPr>
          <m:t>+</m:t>
        </m:r>
        <m:r>
          <w:rPr>
            <w:rFonts w:ascii="Cambria Math" w:hAnsi="Cambria Math"/>
          </w:rPr>
          <m:t>1</m:t>
        </m:r>
      </m:oMath>
      <w:r>
        <w:t xml:space="preserve">-th order statistic, which is the data point just above the </w:t>
      </w:r>
      <m:oMath>
        <m:r>
          <w:rPr>
            <w:rFonts w:ascii="Cambria Math" w:hAnsi="Cambria Math"/>
          </w:rPr>
          <m:t>p</m:t>
        </m:r>
      </m:oMath>
      <w:r>
        <w:t>-th percentile.</w:t>
      </w:r>
    </w:p>
    <w:p w14:paraId="753B8253" w14:textId="77777777" w:rsidR="00A1513A" w:rsidRDefault="00000000">
      <w:pPr>
        <w:pStyle w:val="Compact"/>
        <w:numPr>
          <w:ilvl w:val="0"/>
          <w:numId w:val="2"/>
        </w:numPr>
      </w:pPr>
      <m:oMath>
        <m:r>
          <w:rPr>
            <w:rFonts w:ascii="Cambria Math" w:hAnsi="Cambria Math"/>
          </w:rPr>
          <m:t>g</m:t>
        </m:r>
      </m:oMath>
      <w:r>
        <w:t xml:space="preserve"> is the fractional part of the index </w:t>
      </w:r>
      <m:oMath>
        <m:r>
          <w:rPr>
            <w:rFonts w:ascii="Cambria Math" w:hAnsi="Cambria Math"/>
          </w:rPr>
          <m:t>j</m:t>
        </m:r>
      </m:oMath>
      <w:r>
        <w:t xml:space="preserve"> (i.e., the decimal portion).</w:t>
      </w:r>
    </w:p>
    <w:p w14:paraId="07038D70" w14:textId="77777777" w:rsidR="00A1513A" w:rsidRDefault="00000000">
      <w:pPr>
        <w:pStyle w:val="FirstParagraph"/>
      </w:pPr>
      <w:r>
        <w:t xml:space="preserve">The </w:t>
      </w:r>
      <w:r>
        <w:rPr>
          <w:rStyle w:val="VerbatimChar"/>
        </w:rPr>
        <w:t>quantile</w:t>
      </w:r>
      <w:r>
        <w:t xml:space="preserve"> function in R uses linear interpolation to calculate quantiles. It estimates the quantiles by finding the order statistics </w:t>
      </w:r>
      <m:oMath>
        <m:r>
          <w:rPr>
            <w:rFonts w:ascii="Cambria Math" w:hAnsi="Cambria Math"/>
          </w:rPr>
          <m:t>x</m:t>
        </m:r>
        <m:d>
          <m:dPr>
            <m:begChr m:val="["/>
            <m:endChr m:val="]"/>
            <m:ctrlPr>
              <w:rPr>
                <w:rFonts w:ascii="Cambria Math" w:hAnsi="Cambria Math"/>
              </w:rPr>
            </m:ctrlPr>
          </m:dPr>
          <m:e>
            <m:r>
              <w:rPr>
                <w:rFonts w:ascii="Cambria Math" w:hAnsi="Cambria Math"/>
              </w:rPr>
              <m:t>j</m:t>
            </m:r>
          </m:e>
        </m:d>
      </m:oMath>
      <w:r>
        <w:t xml:space="preserve"> and </w:t>
      </w:r>
      <m:oMath>
        <m:r>
          <w:rPr>
            <w:rFonts w:ascii="Cambria Math" w:hAnsi="Cambria Math"/>
          </w:rPr>
          <m:t>x</m:t>
        </m:r>
        <m:d>
          <m:dPr>
            <m:begChr m:val="["/>
            <m:endChr m:val="]"/>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1</m:t>
            </m:r>
          </m:e>
        </m:d>
      </m:oMath>
      <w:r>
        <w:t xml:space="preserve"> based on the specified </w:t>
      </w:r>
      <m:oMath>
        <m:r>
          <w:rPr>
            <w:rFonts w:ascii="Cambria Math" w:hAnsi="Cambria Math"/>
          </w:rPr>
          <m:t>p</m:t>
        </m:r>
      </m:oMath>
      <w:r>
        <w:t>, and then performs the linear interpolation using the formula above to estimate the quantile value.</w:t>
      </w:r>
    </w:p>
    <w:p w14:paraId="2E55A8BA" w14:textId="77777777" w:rsidR="00A1513A" w:rsidRDefault="00000000">
      <w:pPr>
        <w:pStyle w:val="BodyText"/>
      </w:pPr>
      <w:r>
        <w:t xml:space="preserve">In simpler terms, the </w:t>
      </w:r>
      <w:r>
        <w:rPr>
          <w:rStyle w:val="VerbatimChar"/>
        </w:rPr>
        <w:t>quantile</w:t>
      </w:r>
      <w:r>
        <w:t xml:space="preserve"> function finds the two data points that bound the specified quantile, calculates a weighted average of those points, and returns the estimated quantile value. This allows you to divide your data into segments based on the specified probabilities (e.g., quartiles at </w:t>
      </w:r>
      <m:oMath>
        <m:r>
          <w:rPr>
            <w:rFonts w:ascii="Cambria Math" w:hAnsi="Cambria Math"/>
          </w:rPr>
          <m:t>p</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0.75</m:t>
        </m:r>
      </m:oMath>
      <w:r>
        <w:t>).</w:t>
      </w:r>
    </w:p>
    <w:p w14:paraId="2F9D54FE" w14:textId="77777777" w:rsidR="00612434" w:rsidRDefault="00612434">
      <w:pPr>
        <w:pStyle w:val="BodyText"/>
      </w:pPr>
    </w:p>
    <w:p w14:paraId="3E0B6069" w14:textId="77777777" w:rsidR="00612434" w:rsidRDefault="00612434">
      <w:pPr>
        <w:pStyle w:val="BodyText"/>
      </w:pPr>
    </w:p>
    <w:p w14:paraId="6DFD07AD" w14:textId="77777777" w:rsidR="00612434" w:rsidRDefault="00612434">
      <w:pPr>
        <w:pStyle w:val="BodyText"/>
      </w:pPr>
    </w:p>
    <w:p w14:paraId="1F481E4D" w14:textId="77777777" w:rsidR="00612434" w:rsidRDefault="00612434">
      <w:pPr>
        <w:pStyle w:val="BodyText"/>
      </w:pPr>
    </w:p>
    <w:p w14:paraId="3DFBCAB7" w14:textId="77777777" w:rsidR="00612434" w:rsidRDefault="00612434">
      <w:pPr>
        <w:pStyle w:val="BodyText"/>
      </w:pPr>
    </w:p>
    <w:p w14:paraId="35B61D33" w14:textId="77777777" w:rsidR="00612434" w:rsidRDefault="00612434">
      <w:pPr>
        <w:pStyle w:val="BodyText"/>
      </w:pPr>
    </w:p>
    <w:p w14:paraId="3B031CB9" w14:textId="77777777" w:rsidR="00612434" w:rsidRDefault="00612434">
      <w:pPr>
        <w:pStyle w:val="BodyText"/>
      </w:pPr>
    </w:p>
    <w:p w14:paraId="2736B366" w14:textId="77777777" w:rsidR="00A1513A" w:rsidRDefault="00000000">
      <w:pPr>
        <w:pStyle w:val="BodyText"/>
      </w:pPr>
      <w:r>
        <w:lastRenderedPageBreak/>
        <w:t>Table 1. Tables of deadwood decay classes per tree genus or tree functional type aggregated.</w:t>
      </w:r>
    </w:p>
    <w:tbl>
      <w:tblPr>
        <w:tblStyle w:val="Table"/>
        <w:tblW w:w="5000" w:type="pct"/>
        <w:tblLook w:val="0020" w:firstRow="1" w:lastRow="0" w:firstColumn="0" w:lastColumn="0" w:noHBand="0" w:noVBand="0"/>
      </w:tblPr>
      <w:tblGrid>
        <w:gridCol w:w="1342"/>
        <w:gridCol w:w="1656"/>
        <w:gridCol w:w="1656"/>
        <w:gridCol w:w="1656"/>
        <w:gridCol w:w="1656"/>
        <w:gridCol w:w="1656"/>
      </w:tblGrid>
      <w:tr w:rsidR="00A1513A" w14:paraId="356BD023" w14:textId="77777777" w:rsidTr="00A1513A">
        <w:trPr>
          <w:cnfStyle w:val="100000000000" w:firstRow="1" w:lastRow="0" w:firstColumn="0" w:lastColumn="0" w:oddVBand="0" w:evenVBand="0" w:oddHBand="0" w:evenHBand="0" w:firstRowFirstColumn="0" w:firstRowLastColumn="0" w:lastRowFirstColumn="0" w:lastRowLastColumn="0"/>
          <w:tblHeader/>
        </w:trPr>
        <w:tc>
          <w:tcPr>
            <w:tcW w:w="0" w:type="auto"/>
          </w:tcPr>
          <w:p w14:paraId="788D22FF" w14:textId="77777777" w:rsidR="00A1513A" w:rsidRDefault="00000000">
            <w:pPr>
              <w:pStyle w:val="Compact"/>
            </w:pPr>
            <w:r>
              <w:t>Species</w:t>
            </w:r>
          </w:p>
        </w:tc>
        <w:tc>
          <w:tcPr>
            <w:tcW w:w="0" w:type="auto"/>
          </w:tcPr>
          <w:p w14:paraId="598493C3" w14:textId="77777777" w:rsidR="00A1513A" w:rsidRDefault="00000000">
            <w:pPr>
              <w:pStyle w:val="Compact"/>
            </w:pPr>
            <w:r>
              <w:t>Decay Class 1</w:t>
            </w:r>
          </w:p>
        </w:tc>
        <w:tc>
          <w:tcPr>
            <w:tcW w:w="0" w:type="auto"/>
          </w:tcPr>
          <w:p w14:paraId="4E2574E2" w14:textId="77777777" w:rsidR="00A1513A" w:rsidRDefault="00000000">
            <w:pPr>
              <w:pStyle w:val="Compact"/>
            </w:pPr>
            <w:r>
              <w:t>Decay Class 2</w:t>
            </w:r>
          </w:p>
        </w:tc>
        <w:tc>
          <w:tcPr>
            <w:tcW w:w="0" w:type="auto"/>
          </w:tcPr>
          <w:p w14:paraId="0E01E22A" w14:textId="77777777" w:rsidR="00A1513A" w:rsidRDefault="00000000">
            <w:pPr>
              <w:pStyle w:val="Compact"/>
            </w:pPr>
            <w:r>
              <w:t>Decay Class 3</w:t>
            </w:r>
          </w:p>
        </w:tc>
        <w:tc>
          <w:tcPr>
            <w:tcW w:w="0" w:type="auto"/>
          </w:tcPr>
          <w:p w14:paraId="794E137C" w14:textId="77777777" w:rsidR="00A1513A" w:rsidRDefault="00000000">
            <w:pPr>
              <w:pStyle w:val="Compact"/>
            </w:pPr>
            <w:r>
              <w:t>Decay Class 4</w:t>
            </w:r>
          </w:p>
        </w:tc>
        <w:tc>
          <w:tcPr>
            <w:tcW w:w="0" w:type="auto"/>
          </w:tcPr>
          <w:p w14:paraId="434E7F06" w14:textId="77777777" w:rsidR="00A1513A" w:rsidRDefault="00000000">
            <w:pPr>
              <w:pStyle w:val="Compact"/>
            </w:pPr>
            <w:r>
              <w:t>Decay Class 5</w:t>
            </w:r>
          </w:p>
        </w:tc>
      </w:tr>
      <w:tr w:rsidR="00A1513A" w14:paraId="72EFDEEF" w14:textId="77777777">
        <w:tc>
          <w:tcPr>
            <w:tcW w:w="0" w:type="auto"/>
          </w:tcPr>
          <w:p w14:paraId="041CA915" w14:textId="77777777" w:rsidR="00A1513A" w:rsidRDefault="00000000">
            <w:pPr>
              <w:pStyle w:val="Compact"/>
            </w:pPr>
            <w:r>
              <w:t>Abies</w:t>
            </w:r>
          </w:p>
        </w:tc>
        <w:tc>
          <w:tcPr>
            <w:tcW w:w="0" w:type="auto"/>
          </w:tcPr>
          <w:p w14:paraId="5A8F405A" w14:textId="77777777" w:rsidR="00A1513A" w:rsidRDefault="00000000">
            <w:pPr>
              <w:pStyle w:val="Compact"/>
            </w:pPr>
            <w:r>
              <w:t>343</w:t>
            </w:r>
          </w:p>
        </w:tc>
        <w:tc>
          <w:tcPr>
            <w:tcW w:w="0" w:type="auto"/>
          </w:tcPr>
          <w:p w14:paraId="44A49F9A" w14:textId="77777777" w:rsidR="00A1513A" w:rsidRDefault="00000000">
            <w:pPr>
              <w:pStyle w:val="Compact"/>
            </w:pPr>
            <w:r>
              <w:t>305</w:t>
            </w:r>
          </w:p>
        </w:tc>
        <w:tc>
          <w:tcPr>
            <w:tcW w:w="0" w:type="auto"/>
          </w:tcPr>
          <w:p w14:paraId="7A8BA7CA" w14:textId="77777777" w:rsidR="00A1513A" w:rsidRDefault="00000000">
            <w:pPr>
              <w:pStyle w:val="Compact"/>
            </w:pPr>
            <w:r>
              <w:t>247</w:t>
            </w:r>
          </w:p>
        </w:tc>
        <w:tc>
          <w:tcPr>
            <w:tcW w:w="0" w:type="auto"/>
          </w:tcPr>
          <w:p w14:paraId="5AB0F036" w14:textId="77777777" w:rsidR="00A1513A" w:rsidRDefault="00000000">
            <w:pPr>
              <w:pStyle w:val="Compact"/>
            </w:pPr>
            <w:r>
              <w:t>174</w:t>
            </w:r>
          </w:p>
        </w:tc>
        <w:tc>
          <w:tcPr>
            <w:tcW w:w="0" w:type="auto"/>
          </w:tcPr>
          <w:p w14:paraId="50FC1CF6" w14:textId="77777777" w:rsidR="00A1513A" w:rsidRDefault="00000000">
            <w:pPr>
              <w:pStyle w:val="Compact"/>
            </w:pPr>
            <w:r>
              <w:t>149</w:t>
            </w:r>
          </w:p>
        </w:tc>
      </w:tr>
      <w:tr w:rsidR="00A1513A" w14:paraId="02373DB7" w14:textId="77777777">
        <w:tc>
          <w:tcPr>
            <w:tcW w:w="0" w:type="auto"/>
          </w:tcPr>
          <w:p w14:paraId="7748614B" w14:textId="77777777" w:rsidR="00A1513A" w:rsidRDefault="00000000">
            <w:pPr>
              <w:pStyle w:val="Compact"/>
            </w:pPr>
            <w:r>
              <w:t>Alnus</w:t>
            </w:r>
          </w:p>
        </w:tc>
        <w:tc>
          <w:tcPr>
            <w:tcW w:w="0" w:type="auto"/>
          </w:tcPr>
          <w:p w14:paraId="2EC97ECC" w14:textId="77777777" w:rsidR="00A1513A" w:rsidRDefault="00000000">
            <w:pPr>
              <w:pStyle w:val="Compact"/>
            </w:pPr>
            <w:r>
              <w:t>422</w:t>
            </w:r>
          </w:p>
        </w:tc>
        <w:tc>
          <w:tcPr>
            <w:tcW w:w="0" w:type="auto"/>
          </w:tcPr>
          <w:p w14:paraId="03121807" w14:textId="77777777" w:rsidR="00A1513A" w:rsidRDefault="00000000">
            <w:pPr>
              <w:pStyle w:val="Compact"/>
            </w:pPr>
            <w:r>
              <w:t>359</w:t>
            </w:r>
          </w:p>
        </w:tc>
        <w:tc>
          <w:tcPr>
            <w:tcW w:w="0" w:type="auto"/>
          </w:tcPr>
          <w:p w14:paraId="683075B2" w14:textId="77777777" w:rsidR="00A1513A" w:rsidRDefault="00000000">
            <w:pPr>
              <w:pStyle w:val="Compact"/>
            </w:pPr>
            <w:r>
              <w:t>286</w:t>
            </w:r>
          </w:p>
        </w:tc>
        <w:tc>
          <w:tcPr>
            <w:tcW w:w="0" w:type="auto"/>
          </w:tcPr>
          <w:p w14:paraId="26200D80" w14:textId="77777777" w:rsidR="00A1513A" w:rsidRDefault="00000000">
            <w:pPr>
              <w:pStyle w:val="Compact"/>
            </w:pPr>
            <w:r>
              <w:t>197</w:t>
            </w:r>
          </w:p>
        </w:tc>
        <w:tc>
          <w:tcPr>
            <w:tcW w:w="0" w:type="auto"/>
          </w:tcPr>
          <w:p w14:paraId="36B2BE31" w14:textId="77777777" w:rsidR="00A1513A" w:rsidRDefault="00000000">
            <w:pPr>
              <w:pStyle w:val="Compact"/>
            </w:pPr>
            <w:r>
              <w:t>120</w:t>
            </w:r>
          </w:p>
        </w:tc>
      </w:tr>
      <w:tr w:rsidR="00A1513A" w14:paraId="5B7B56E9" w14:textId="77777777">
        <w:tc>
          <w:tcPr>
            <w:tcW w:w="0" w:type="auto"/>
          </w:tcPr>
          <w:p w14:paraId="1C4735C7" w14:textId="77777777" w:rsidR="00A1513A" w:rsidRDefault="00000000">
            <w:pPr>
              <w:pStyle w:val="Compact"/>
            </w:pPr>
            <w:r>
              <w:t>Deciduous</w:t>
            </w:r>
          </w:p>
        </w:tc>
        <w:tc>
          <w:tcPr>
            <w:tcW w:w="0" w:type="auto"/>
          </w:tcPr>
          <w:p w14:paraId="72E6D1C8" w14:textId="77777777" w:rsidR="00A1513A" w:rsidRDefault="00000000">
            <w:pPr>
              <w:pStyle w:val="Compact"/>
            </w:pPr>
            <w:r>
              <w:t>523</w:t>
            </w:r>
          </w:p>
        </w:tc>
        <w:tc>
          <w:tcPr>
            <w:tcW w:w="0" w:type="auto"/>
          </w:tcPr>
          <w:p w14:paraId="1C0AE93C" w14:textId="77777777" w:rsidR="00A1513A" w:rsidRDefault="00000000">
            <w:pPr>
              <w:pStyle w:val="Compact"/>
            </w:pPr>
            <w:r>
              <w:t>442</w:t>
            </w:r>
          </w:p>
        </w:tc>
        <w:tc>
          <w:tcPr>
            <w:tcW w:w="0" w:type="auto"/>
          </w:tcPr>
          <w:p w14:paraId="69A254C6" w14:textId="77777777" w:rsidR="00A1513A" w:rsidRDefault="00000000">
            <w:pPr>
              <w:pStyle w:val="Compact"/>
            </w:pPr>
            <w:r>
              <w:t>345</w:t>
            </w:r>
          </w:p>
        </w:tc>
        <w:tc>
          <w:tcPr>
            <w:tcW w:w="0" w:type="auto"/>
          </w:tcPr>
          <w:p w14:paraId="139B0FB1" w14:textId="77777777" w:rsidR="00A1513A" w:rsidRDefault="00000000">
            <w:pPr>
              <w:pStyle w:val="Compact"/>
            </w:pPr>
            <w:r>
              <w:t>241</w:t>
            </w:r>
          </w:p>
        </w:tc>
        <w:tc>
          <w:tcPr>
            <w:tcW w:w="0" w:type="auto"/>
          </w:tcPr>
          <w:p w14:paraId="3EB5B206" w14:textId="77777777" w:rsidR="00A1513A" w:rsidRDefault="00000000">
            <w:pPr>
              <w:pStyle w:val="Compact"/>
            </w:pPr>
            <w:r>
              <w:t>152</w:t>
            </w:r>
          </w:p>
        </w:tc>
      </w:tr>
      <w:tr w:rsidR="00A1513A" w14:paraId="7BAA2B6C" w14:textId="77777777">
        <w:tc>
          <w:tcPr>
            <w:tcW w:w="0" w:type="auto"/>
          </w:tcPr>
          <w:p w14:paraId="25C21478" w14:textId="77777777" w:rsidR="00A1513A" w:rsidRDefault="00000000">
            <w:pPr>
              <w:pStyle w:val="Compact"/>
            </w:pPr>
            <w:r>
              <w:t>Carpinus</w:t>
            </w:r>
          </w:p>
        </w:tc>
        <w:tc>
          <w:tcPr>
            <w:tcW w:w="0" w:type="auto"/>
          </w:tcPr>
          <w:p w14:paraId="219801AF" w14:textId="77777777" w:rsidR="00A1513A" w:rsidRDefault="00000000">
            <w:pPr>
              <w:pStyle w:val="Compact"/>
            </w:pPr>
            <w:r>
              <w:t>428</w:t>
            </w:r>
          </w:p>
        </w:tc>
        <w:tc>
          <w:tcPr>
            <w:tcW w:w="0" w:type="auto"/>
          </w:tcPr>
          <w:p w14:paraId="5F8551FE" w14:textId="77777777" w:rsidR="00A1513A" w:rsidRDefault="00000000">
            <w:pPr>
              <w:pStyle w:val="Compact"/>
            </w:pPr>
            <w:r>
              <w:t>392</w:t>
            </w:r>
          </w:p>
        </w:tc>
        <w:tc>
          <w:tcPr>
            <w:tcW w:w="0" w:type="auto"/>
          </w:tcPr>
          <w:p w14:paraId="18A758B0" w14:textId="77777777" w:rsidR="00A1513A" w:rsidRDefault="00000000">
            <w:pPr>
              <w:pStyle w:val="Compact"/>
            </w:pPr>
            <w:r>
              <w:t>336</w:t>
            </w:r>
          </w:p>
        </w:tc>
        <w:tc>
          <w:tcPr>
            <w:tcW w:w="0" w:type="auto"/>
          </w:tcPr>
          <w:p w14:paraId="6702227D" w14:textId="77777777" w:rsidR="00A1513A" w:rsidRDefault="00000000">
            <w:pPr>
              <w:pStyle w:val="Compact"/>
            </w:pPr>
            <w:r>
              <w:t>211</w:t>
            </w:r>
          </w:p>
        </w:tc>
        <w:tc>
          <w:tcPr>
            <w:tcW w:w="0" w:type="auto"/>
          </w:tcPr>
          <w:p w14:paraId="57F20B59" w14:textId="77777777" w:rsidR="00A1513A" w:rsidRDefault="00000000">
            <w:pPr>
              <w:pStyle w:val="Compact"/>
            </w:pPr>
            <w:r>
              <w:t>140</w:t>
            </w:r>
          </w:p>
        </w:tc>
      </w:tr>
      <w:tr w:rsidR="00A1513A" w14:paraId="7FD7524E" w14:textId="77777777">
        <w:tc>
          <w:tcPr>
            <w:tcW w:w="0" w:type="auto"/>
          </w:tcPr>
          <w:p w14:paraId="4A50C31F" w14:textId="77777777" w:rsidR="00A1513A" w:rsidRDefault="00000000">
            <w:pPr>
              <w:pStyle w:val="Compact"/>
            </w:pPr>
            <w:r>
              <w:t>Conifer</w:t>
            </w:r>
          </w:p>
        </w:tc>
        <w:tc>
          <w:tcPr>
            <w:tcW w:w="0" w:type="auto"/>
          </w:tcPr>
          <w:p w14:paraId="175A63E4" w14:textId="77777777" w:rsidR="00A1513A" w:rsidRDefault="00000000">
            <w:pPr>
              <w:pStyle w:val="Compact"/>
            </w:pPr>
            <w:r>
              <w:t>374</w:t>
            </w:r>
          </w:p>
        </w:tc>
        <w:tc>
          <w:tcPr>
            <w:tcW w:w="0" w:type="auto"/>
          </w:tcPr>
          <w:p w14:paraId="01B6DD53" w14:textId="77777777" w:rsidR="00A1513A" w:rsidRDefault="00000000">
            <w:pPr>
              <w:pStyle w:val="Compact"/>
            </w:pPr>
            <w:r>
              <w:t>334</w:t>
            </w:r>
          </w:p>
        </w:tc>
        <w:tc>
          <w:tcPr>
            <w:tcW w:w="0" w:type="auto"/>
          </w:tcPr>
          <w:p w14:paraId="5F55752B" w14:textId="77777777" w:rsidR="00A1513A" w:rsidRDefault="00000000">
            <w:pPr>
              <w:pStyle w:val="Compact"/>
            </w:pPr>
            <w:r>
              <w:t>271</w:t>
            </w:r>
          </w:p>
        </w:tc>
        <w:tc>
          <w:tcPr>
            <w:tcW w:w="0" w:type="auto"/>
          </w:tcPr>
          <w:p w14:paraId="6C7CDF6B" w14:textId="77777777" w:rsidR="00A1513A" w:rsidRDefault="00000000">
            <w:pPr>
              <w:pStyle w:val="Compact"/>
            </w:pPr>
            <w:r>
              <w:t>198</w:t>
            </w:r>
          </w:p>
        </w:tc>
        <w:tc>
          <w:tcPr>
            <w:tcW w:w="0" w:type="auto"/>
          </w:tcPr>
          <w:p w14:paraId="0D93F2D3" w14:textId="77777777" w:rsidR="00A1513A" w:rsidRDefault="00000000">
            <w:pPr>
              <w:pStyle w:val="Compact"/>
            </w:pPr>
            <w:r>
              <w:t>160</w:t>
            </w:r>
          </w:p>
        </w:tc>
      </w:tr>
      <w:tr w:rsidR="00A1513A" w14:paraId="6B16F069" w14:textId="77777777">
        <w:tc>
          <w:tcPr>
            <w:tcW w:w="0" w:type="auto"/>
          </w:tcPr>
          <w:p w14:paraId="027D6962" w14:textId="77777777" w:rsidR="00A1513A" w:rsidRDefault="00000000">
            <w:pPr>
              <w:pStyle w:val="Compact"/>
            </w:pPr>
            <w:r>
              <w:t>Fagus</w:t>
            </w:r>
          </w:p>
        </w:tc>
        <w:tc>
          <w:tcPr>
            <w:tcW w:w="0" w:type="auto"/>
          </w:tcPr>
          <w:p w14:paraId="20408F93" w14:textId="77777777" w:rsidR="00A1513A" w:rsidRDefault="00000000">
            <w:pPr>
              <w:pStyle w:val="Compact"/>
            </w:pPr>
            <w:r>
              <w:t>520</w:t>
            </w:r>
          </w:p>
        </w:tc>
        <w:tc>
          <w:tcPr>
            <w:tcW w:w="0" w:type="auto"/>
          </w:tcPr>
          <w:p w14:paraId="67D0AC01" w14:textId="77777777" w:rsidR="00A1513A" w:rsidRDefault="00000000">
            <w:pPr>
              <w:pStyle w:val="Compact"/>
            </w:pPr>
            <w:r>
              <w:t>379</w:t>
            </w:r>
          </w:p>
        </w:tc>
        <w:tc>
          <w:tcPr>
            <w:tcW w:w="0" w:type="auto"/>
          </w:tcPr>
          <w:p w14:paraId="4B639CA5" w14:textId="77777777" w:rsidR="00A1513A" w:rsidRDefault="00000000">
            <w:pPr>
              <w:pStyle w:val="Compact"/>
            </w:pPr>
            <w:r>
              <w:t>261</w:t>
            </w:r>
          </w:p>
        </w:tc>
        <w:tc>
          <w:tcPr>
            <w:tcW w:w="0" w:type="auto"/>
          </w:tcPr>
          <w:p w14:paraId="477D5090" w14:textId="77777777" w:rsidR="00A1513A" w:rsidRDefault="00000000">
            <w:pPr>
              <w:pStyle w:val="Compact"/>
            </w:pPr>
            <w:r>
              <w:t>229</w:t>
            </w:r>
          </w:p>
        </w:tc>
        <w:tc>
          <w:tcPr>
            <w:tcW w:w="0" w:type="auto"/>
          </w:tcPr>
          <w:p w14:paraId="2D88905C" w14:textId="77777777" w:rsidR="00A1513A" w:rsidRDefault="00000000">
            <w:pPr>
              <w:pStyle w:val="Compact"/>
            </w:pPr>
            <w:r>
              <w:t>220</w:t>
            </w:r>
          </w:p>
        </w:tc>
      </w:tr>
      <w:tr w:rsidR="00A1513A" w14:paraId="73829C45" w14:textId="77777777">
        <w:tc>
          <w:tcPr>
            <w:tcW w:w="0" w:type="auto"/>
          </w:tcPr>
          <w:p w14:paraId="6A11E7EC" w14:textId="77777777" w:rsidR="00A1513A" w:rsidRDefault="00000000">
            <w:pPr>
              <w:pStyle w:val="Compact"/>
            </w:pPr>
            <w:r>
              <w:t>Fraxinus</w:t>
            </w:r>
          </w:p>
        </w:tc>
        <w:tc>
          <w:tcPr>
            <w:tcW w:w="0" w:type="auto"/>
          </w:tcPr>
          <w:p w14:paraId="4BFB4BA2" w14:textId="77777777" w:rsidR="00A1513A" w:rsidRDefault="00000000">
            <w:pPr>
              <w:pStyle w:val="Compact"/>
            </w:pPr>
            <w:r>
              <w:t>452</w:t>
            </w:r>
          </w:p>
        </w:tc>
        <w:tc>
          <w:tcPr>
            <w:tcW w:w="0" w:type="auto"/>
          </w:tcPr>
          <w:p w14:paraId="02916C35" w14:textId="77777777" w:rsidR="00A1513A" w:rsidRDefault="00000000">
            <w:pPr>
              <w:pStyle w:val="Compact"/>
            </w:pPr>
            <w:r>
              <w:t>403</w:t>
            </w:r>
          </w:p>
        </w:tc>
        <w:tc>
          <w:tcPr>
            <w:tcW w:w="0" w:type="auto"/>
          </w:tcPr>
          <w:p w14:paraId="1FF0E561" w14:textId="77777777" w:rsidR="00A1513A" w:rsidRDefault="00000000">
            <w:pPr>
              <w:pStyle w:val="Compact"/>
            </w:pPr>
            <w:r>
              <w:t>392</w:t>
            </w:r>
          </w:p>
        </w:tc>
        <w:tc>
          <w:tcPr>
            <w:tcW w:w="0" w:type="auto"/>
          </w:tcPr>
          <w:p w14:paraId="779C6F96" w14:textId="77777777" w:rsidR="00A1513A" w:rsidRDefault="00000000">
            <w:pPr>
              <w:pStyle w:val="Compact"/>
            </w:pPr>
            <w:r>
              <w:t>227</w:t>
            </w:r>
          </w:p>
        </w:tc>
        <w:tc>
          <w:tcPr>
            <w:tcW w:w="0" w:type="auto"/>
          </w:tcPr>
          <w:p w14:paraId="4771CAEC" w14:textId="77777777" w:rsidR="00A1513A" w:rsidRDefault="00000000">
            <w:pPr>
              <w:pStyle w:val="Compact"/>
            </w:pPr>
            <w:r>
              <w:t>151</w:t>
            </w:r>
          </w:p>
        </w:tc>
      </w:tr>
      <w:tr w:rsidR="00A1513A" w14:paraId="1B2CD1E1" w14:textId="77777777">
        <w:tc>
          <w:tcPr>
            <w:tcW w:w="0" w:type="auto"/>
          </w:tcPr>
          <w:p w14:paraId="74B1E96A" w14:textId="77777777" w:rsidR="00A1513A" w:rsidRDefault="00000000">
            <w:pPr>
              <w:pStyle w:val="Compact"/>
            </w:pPr>
            <w:r>
              <w:t>Picea</w:t>
            </w:r>
          </w:p>
        </w:tc>
        <w:tc>
          <w:tcPr>
            <w:tcW w:w="0" w:type="auto"/>
          </w:tcPr>
          <w:p w14:paraId="68548C81" w14:textId="77777777" w:rsidR="00A1513A" w:rsidRDefault="00000000">
            <w:pPr>
              <w:pStyle w:val="Compact"/>
            </w:pPr>
            <w:r>
              <w:t>381</w:t>
            </w:r>
          </w:p>
        </w:tc>
        <w:tc>
          <w:tcPr>
            <w:tcW w:w="0" w:type="auto"/>
          </w:tcPr>
          <w:p w14:paraId="0E9F1A97" w14:textId="77777777" w:rsidR="00A1513A" w:rsidRDefault="00000000">
            <w:pPr>
              <w:pStyle w:val="Compact"/>
            </w:pPr>
            <w:r>
              <w:t>340</w:t>
            </w:r>
          </w:p>
        </w:tc>
        <w:tc>
          <w:tcPr>
            <w:tcW w:w="0" w:type="auto"/>
          </w:tcPr>
          <w:p w14:paraId="08CBD1A6" w14:textId="77777777" w:rsidR="00A1513A" w:rsidRDefault="00000000">
            <w:pPr>
              <w:pStyle w:val="Compact"/>
            </w:pPr>
            <w:r>
              <w:t>270</w:t>
            </w:r>
          </w:p>
        </w:tc>
        <w:tc>
          <w:tcPr>
            <w:tcW w:w="0" w:type="auto"/>
          </w:tcPr>
          <w:p w14:paraId="0E368907" w14:textId="77777777" w:rsidR="00A1513A" w:rsidRDefault="00000000">
            <w:pPr>
              <w:pStyle w:val="Compact"/>
            </w:pPr>
            <w:r>
              <w:t>190</w:t>
            </w:r>
          </w:p>
        </w:tc>
        <w:tc>
          <w:tcPr>
            <w:tcW w:w="0" w:type="auto"/>
          </w:tcPr>
          <w:p w14:paraId="5D337C1A" w14:textId="77777777" w:rsidR="00A1513A" w:rsidRDefault="00000000">
            <w:pPr>
              <w:pStyle w:val="Compact"/>
            </w:pPr>
            <w:r>
              <w:t>157</w:t>
            </w:r>
          </w:p>
        </w:tc>
      </w:tr>
      <w:tr w:rsidR="00A1513A" w14:paraId="78825383" w14:textId="77777777">
        <w:tc>
          <w:tcPr>
            <w:tcW w:w="0" w:type="auto"/>
          </w:tcPr>
          <w:p w14:paraId="217C75D0" w14:textId="77777777" w:rsidR="00A1513A" w:rsidRDefault="00000000">
            <w:pPr>
              <w:pStyle w:val="Compact"/>
            </w:pPr>
            <w:r>
              <w:t>Pinus</w:t>
            </w:r>
          </w:p>
        </w:tc>
        <w:tc>
          <w:tcPr>
            <w:tcW w:w="0" w:type="auto"/>
          </w:tcPr>
          <w:p w14:paraId="3EC07492" w14:textId="77777777" w:rsidR="00A1513A" w:rsidRDefault="00000000">
            <w:pPr>
              <w:pStyle w:val="Compact"/>
            </w:pPr>
            <w:r>
              <w:t>379</w:t>
            </w:r>
          </w:p>
        </w:tc>
        <w:tc>
          <w:tcPr>
            <w:tcW w:w="0" w:type="auto"/>
          </w:tcPr>
          <w:p w14:paraId="7844CDDE" w14:textId="77777777" w:rsidR="00A1513A" w:rsidRDefault="00000000">
            <w:pPr>
              <w:pStyle w:val="Compact"/>
            </w:pPr>
            <w:r>
              <w:t>334</w:t>
            </w:r>
          </w:p>
        </w:tc>
        <w:tc>
          <w:tcPr>
            <w:tcW w:w="0" w:type="auto"/>
          </w:tcPr>
          <w:p w14:paraId="029AACC5" w14:textId="77777777" w:rsidR="00A1513A" w:rsidRDefault="00000000">
            <w:pPr>
              <w:pStyle w:val="Compact"/>
            </w:pPr>
            <w:r>
              <w:t>277</w:t>
            </w:r>
          </w:p>
        </w:tc>
        <w:tc>
          <w:tcPr>
            <w:tcW w:w="0" w:type="auto"/>
          </w:tcPr>
          <w:p w14:paraId="02E2C36F" w14:textId="77777777" w:rsidR="00A1513A" w:rsidRDefault="00000000">
            <w:pPr>
              <w:pStyle w:val="Compact"/>
            </w:pPr>
            <w:r>
              <w:t>214</w:t>
            </w:r>
          </w:p>
        </w:tc>
        <w:tc>
          <w:tcPr>
            <w:tcW w:w="0" w:type="auto"/>
          </w:tcPr>
          <w:p w14:paraId="50701FD7" w14:textId="77777777" w:rsidR="00A1513A" w:rsidRDefault="00000000">
            <w:pPr>
              <w:pStyle w:val="Compact"/>
            </w:pPr>
            <w:r>
              <w:t>165</w:t>
            </w:r>
          </w:p>
        </w:tc>
      </w:tr>
      <w:tr w:rsidR="00A1513A" w14:paraId="324F61CA" w14:textId="77777777">
        <w:tc>
          <w:tcPr>
            <w:tcW w:w="0" w:type="auto"/>
          </w:tcPr>
          <w:p w14:paraId="3ACACE0A" w14:textId="77777777" w:rsidR="00A1513A" w:rsidRDefault="00000000">
            <w:pPr>
              <w:pStyle w:val="Compact"/>
            </w:pPr>
            <w:r>
              <w:t>Quercus</w:t>
            </w:r>
          </w:p>
        </w:tc>
        <w:tc>
          <w:tcPr>
            <w:tcW w:w="0" w:type="auto"/>
          </w:tcPr>
          <w:p w14:paraId="114F1C71" w14:textId="77777777" w:rsidR="00A1513A" w:rsidRDefault="00000000">
            <w:pPr>
              <w:pStyle w:val="Compact"/>
            </w:pPr>
            <w:r>
              <w:t>614</w:t>
            </w:r>
          </w:p>
        </w:tc>
        <w:tc>
          <w:tcPr>
            <w:tcW w:w="0" w:type="auto"/>
          </w:tcPr>
          <w:p w14:paraId="2302E77B" w14:textId="77777777" w:rsidR="00A1513A" w:rsidRDefault="00000000">
            <w:pPr>
              <w:pStyle w:val="Compact"/>
            </w:pPr>
            <w:r>
              <w:t>518</w:t>
            </w:r>
          </w:p>
        </w:tc>
        <w:tc>
          <w:tcPr>
            <w:tcW w:w="0" w:type="auto"/>
          </w:tcPr>
          <w:p w14:paraId="417717A6" w14:textId="77777777" w:rsidR="00A1513A" w:rsidRDefault="00000000">
            <w:pPr>
              <w:pStyle w:val="Compact"/>
            </w:pPr>
            <w:r>
              <w:t>397</w:t>
            </w:r>
          </w:p>
        </w:tc>
        <w:tc>
          <w:tcPr>
            <w:tcW w:w="0" w:type="auto"/>
          </w:tcPr>
          <w:p w14:paraId="10D31D77" w14:textId="77777777" w:rsidR="00A1513A" w:rsidRDefault="00000000">
            <w:pPr>
              <w:pStyle w:val="Compact"/>
            </w:pPr>
            <w:r>
              <w:t>300</w:t>
            </w:r>
          </w:p>
        </w:tc>
        <w:tc>
          <w:tcPr>
            <w:tcW w:w="0" w:type="auto"/>
          </w:tcPr>
          <w:p w14:paraId="0E1E0FC3" w14:textId="77777777" w:rsidR="00A1513A" w:rsidRDefault="00000000">
            <w:pPr>
              <w:pStyle w:val="Compact"/>
            </w:pPr>
            <w:r>
              <w:t>195</w:t>
            </w:r>
          </w:p>
        </w:tc>
      </w:tr>
    </w:tbl>
    <w:p w14:paraId="2A6753D5" w14:textId="5D4B0BDA" w:rsidR="00A1513A" w:rsidRDefault="00000000">
      <w:pPr>
        <w:pStyle w:val="BodyText"/>
      </w:pPr>
      <w:r>
        <w:t xml:space="preserve">Tables of deadwood decay classes per tree genus or tree functional type aggregated. All the values are expressed as dry biomass per volume </w:t>
      </w:r>
      <m:oMath>
        <m:r>
          <m:rPr>
            <m:nor/>
          </m:rPr>
          <m:t>kg</m:t>
        </m:r>
        <m:r>
          <m:rPr>
            <m:sty m:val="p"/>
          </m:rPr>
          <w:rPr>
            <w:rFonts w:ascii="Cambria Math" w:hAnsi="Cambria Math"/>
          </w:rPr>
          <m:t>⋅</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3</m:t>
            </m:r>
          </m:sup>
        </m:sSup>
      </m:oMath>
      <w:r>
        <w:t>. The Decay Classes are a function of time, from the most recent wood decay stage to the oldest</w:t>
      </w:r>
      <w:r w:rsidR="00EF0A13">
        <w:t xml:space="preserve"> </w:t>
      </w:r>
      <w:proofErr w:type="gramStart"/>
      <w:r w:rsidR="00EF0A13">
        <w:t xml:space="preserve">from </w:t>
      </w:r>
      <w:r>
        <w:t>.</w:t>
      </w:r>
      <w:proofErr w:type="gramEnd"/>
    </w:p>
    <w:p w14:paraId="043B736A" w14:textId="77777777" w:rsidR="00EF0A13" w:rsidRDefault="00EF0A13">
      <w:pPr>
        <w:pStyle w:val="BodyText"/>
      </w:pPr>
    </w:p>
    <w:p w14:paraId="36AE7C90" w14:textId="493A3AB7" w:rsidR="00EF0A13" w:rsidRDefault="00EF0A13" w:rsidP="00EF0A13">
      <w:pPr>
        <w:pStyle w:val="BodyText"/>
        <w:numPr>
          <w:ilvl w:val="0"/>
          <w:numId w:val="3"/>
        </w:numPr>
      </w:pPr>
      <w:r>
        <w:t>Add a new table with new values. Add also the linear regression function.</w:t>
      </w:r>
    </w:p>
    <w:p w14:paraId="5907D6DD" w14:textId="77777777" w:rsidR="00A1513A" w:rsidRDefault="00000000">
      <w:pPr>
        <w:pStyle w:val="Heading2"/>
      </w:pPr>
      <w:bookmarkStart w:id="0" w:name="including-plots"/>
      <w:r>
        <w:t>Including Plots</w:t>
      </w:r>
    </w:p>
    <w:p w14:paraId="1CCAB6E0" w14:textId="14FCFF27" w:rsidR="00A1513A" w:rsidRDefault="00000000">
      <w:pPr>
        <w:pStyle w:val="FirstParagraph"/>
      </w:pPr>
      <w:r>
        <w:t>You can also embed plots, for example</w:t>
      </w:r>
      <w:r w:rsidR="00BC3B27">
        <w:t>, tables of deadwood stocks.</w:t>
      </w:r>
    </w:p>
    <w:bookmarkEnd w:id="0"/>
    <w:p w14:paraId="27D67A01" w14:textId="69413DC1" w:rsidR="00A1513A" w:rsidRDefault="00EF0A13">
      <w:pPr>
        <w:pStyle w:val="BodyText"/>
      </w:pPr>
      <w:r>
        <w:t>Add here the table with the plot carbon values.</w:t>
      </w:r>
    </w:p>
    <w:p w14:paraId="0013B56B" w14:textId="77777777" w:rsidR="00EF0A13" w:rsidRDefault="00EF0A13">
      <w:pPr>
        <w:pStyle w:val="BodyText"/>
      </w:pPr>
    </w:p>
    <w:p w14:paraId="66E3B1AA" w14:textId="77777777" w:rsidR="00FA50EA" w:rsidRDefault="00FA50EA">
      <w:pPr>
        <w:pStyle w:val="BodyText"/>
      </w:pPr>
    </w:p>
    <w:p w14:paraId="1F5B1FA1" w14:textId="77777777" w:rsidR="00FA50EA" w:rsidRDefault="00FA50EA">
      <w:pPr>
        <w:pStyle w:val="BodyText"/>
      </w:pPr>
    </w:p>
    <w:p w14:paraId="751C0A59" w14:textId="77777777" w:rsidR="00FA50EA" w:rsidRDefault="00FA50EA">
      <w:pPr>
        <w:pStyle w:val="BodyText"/>
      </w:pPr>
    </w:p>
    <w:p w14:paraId="75CE94B1" w14:textId="77777777" w:rsidR="00FA50EA" w:rsidRDefault="00FA50EA">
      <w:pPr>
        <w:pStyle w:val="BodyText"/>
      </w:pPr>
    </w:p>
    <w:p w14:paraId="4152512A" w14:textId="77777777" w:rsidR="00FA50EA" w:rsidRDefault="00FA50EA">
      <w:pPr>
        <w:pStyle w:val="BodyText"/>
      </w:pPr>
    </w:p>
    <w:p w14:paraId="46CC3C6F" w14:textId="77777777" w:rsidR="00FA50EA" w:rsidRDefault="00FA50EA">
      <w:pPr>
        <w:pStyle w:val="BodyText"/>
      </w:pPr>
    </w:p>
    <w:p w14:paraId="7A0E8B73" w14:textId="77777777" w:rsidR="00FA50EA" w:rsidRDefault="00FA50EA">
      <w:pPr>
        <w:pStyle w:val="BodyText"/>
      </w:pPr>
    </w:p>
    <w:p w14:paraId="37FA2C84" w14:textId="77777777" w:rsidR="00FA50EA" w:rsidRDefault="00FA50EA">
      <w:pPr>
        <w:pStyle w:val="BodyText"/>
      </w:pPr>
    </w:p>
    <w:p w14:paraId="4752EC3D" w14:textId="77777777" w:rsidR="00FA50EA" w:rsidRDefault="00FA50EA">
      <w:pPr>
        <w:pStyle w:val="BodyText"/>
      </w:pPr>
    </w:p>
    <w:p w14:paraId="7F69DE7B" w14:textId="77777777" w:rsidR="00EF0A13" w:rsidRDefault="00EF0A13" w:rsidP="00EF0A13">
      <w:pPr>
        <w:spacing w:before="120" w:after="120"/>
        <w:jc w:val="both"/>
        <w:rPr>
          <w:rFonts w:ascii="Times New Roman" w:hAnsi="Times New Roman" w:cs="Times New Roman"/>
          <w:b/>
          <w:bCs/>
        </w:rPr>
      </w:pPr>
      <w:r w:rsidRPr="000626D2">
        <w:rPr>
          <w:rFonts w:ascii="Times New Roman" w:hAnsi="Times New Roman" w:cs="Times New Roman"/>
          <w:b/>
          <w:bCs/>
        </w:rPr>
        <w:lastRenderedPageBreak/>
        <w:t>Deadwood simulation</w:t>
      </w:r>
    </w:p>
    <w:p w14:paraId="1B8922E6" w14:textId="77777777" w:rsidR="00EF0A13" w:rsidRPr="000626D2" w:rsidRDefault="00EF0A13" w:rsidP="00EF0A13">
      <w:pPr>
        <w:spacing w:before="120" w:after="120"/>
        <w:jc w:val="both"/>
        <w:rPr>
          <w:rFonts w:ascii="Times New Roman" w:hAnsi="Times New Roman" w:cs="Times New Roman"/>
        </w:rPr>
      </w:pPr>
      <w:r w:rsidRPr="000626D2">
        <w:rPr>
          <w:rFonts w:ascii="Times New Roman" w:hAnsi="Times New Roman" w:cs="Times New Roman"/>
        </w:rPr>
        <w:t>The de</w:t>
      </w:r>
      <w:r>
        <w:rPr>
          <w:rFonts w:ascii="Times New Roman" w:hAnsi="Times New Roman" w:cs="Times New Roman"/>
        </w:rPr>
        <w:t xml:space="preserve">adwood pools calculation, together with the synthesis of the deadwood sampling methods with the iLand simulation, has surely been the most challenging procedure, passing through several steps and supervision by experts in the field, together with the best available references (Doroteja 2023; </w:t>
      </w:r>
      <w:commentRangeStart w:id="1"/>
      <w:r>
        <w:rPr>
          <w:rFonts w:ascii="Times New Roman" w:hAnsi="Times New Roman" w:cs="Times New Roman"/>
        </w:rPr>
        <w:t xml:space="preserve">other </w:t>
      </w:r>
      <w:commentRangeEnd w:id="1"/>
      <w:r>
        <w:rPr>
          <w:rStyle w:val="CommentReference"/>
        </w:rPr>
        <w:commentReference w:id="1"/>
      </w:r>
      <w:r>
        <w:rPr>
          <w:rFonts w:ascii="Times New Roman" w:hAnsi="Times New Roman" w:cs="Times New Roman"/>
        </w:rPr>
        <w:t xml:space="preserve">). </w:t>
      </w:r>
    </w:p>
    <w:p w14:paraId="770CA219" w14:textId="77777777" w:rsidR="00EF0A13" w:rsidRDefault="00EF0A13" w:rsidP="00EF0A13">
      <w:pPr>
        <w:spacing w:before="120" w:after="120"/>
        <w:jc w:val="both"/>
        <w:rPr>
          <w:rFonts w:ascii="Times New Roman" w:hAnsi="Times New Roman" w:cs="Times New Roman"/>
        </w:rPr>
      </w:pPr>
      <w:commentRangeStart w:id="2"/>
      <w:r>
        <w:rPr>
          <w:rFonts w:ascii="Times New Roman" w:hAnsi="Times New Roman" w:cs="Times New Roman"/>
        </w:rPr>
        <w:t>Comm 1</w:t>
      </w:r>
      <w:commentRangeEnd w:id="2"/>
      <w:r>
        <w:rPr>
          <w:rStyle w:val="CommentReference"/>
        </w:rPr>
        <w:commentReference w:id="2"/>
      </w:r>
    </w:p>
    <w:p w14:paraId="3AB3A366" w14:textId="77777777" w:rsidR="00EF0A13" w:rsidRPr="000626D2" w:rsidRDefault="00EF0A13" w:rsidP="00EF0A13">
      <w:pPr>
        <w:spacing w:before="120" w:after="120"/>
        <w:jc w:val="both"/>
        <w:rPr>
          <w:rFonts w:ascii="Times New Roman" w:hAnsi="Times New Roman" w:cs="Times New Roman"/>
        </w:rPr>
      </w:pPr>
      <w:commentRangeStart w:id="3"/>
      <w:r>
        <w:rPr>
          <w:rFonts w:ascii="Times New Roman" w:hAnsi="Times New Roman" w:cs="Times New Roman"/>
        </w:rPr>
        <w:t>Comm 2</w:t>
      </w:r>
      <w:commentRangeEnd w:id="3"/>
      <w:r>
        <w:rPr>
          <w:rStyle w:val="CommentReference"/>
        </w:rPr>
        <w:commentReference w:id="3"/>
      </w:r>
    </w:p>
    <w:p w14:paraId="189065E3" w14:textId="77777777" w:rsidR="00EF0A13" w:rsidRDefault="00EF0A13" w:rsidP="00EF0A13">
      <w:pPr>
        <w:spacing w:before="120" w:after="120"/>
        <w:jc w:val="both"/>
        <w:rPr>
          <w:rFonts w:ascii="Times New Roman" w:hAnsi="Times New Roman" w:cs="Times New Roman"/>
        </w:rPr>
      </w:pPr>
      <w:commentRangeStart w:id="4"/>
      <w:commentRangeStart w:id="5"/>
      <w:r>
        <w:rPr>
          <w:rFonts w:ascii="Times New Roman" w:hAnsi="Times New Roman" w:cs="Times New Roman"/>
        </w:rPr>
        <w:t>Comm 3</w:t>
      </w:r>
      <w:commentRangeEnd w:id="4"/>
      <w:r>
        <w:rPr>
          <w:rStyle w:val="CommentReference"/>
        </w:rPr>
        <w:commentReference w:id="4"/>
      </w:r>
      <w:commentRangeEnd w:id="5"/>
      <w:r>
        <w:rPr>
          <w:rStyle w:val="CommentReference"/>
        </w:rPr>
        <w:commentReference w:id="5"/>
      </w:r>
    </w:p>
    <w:p w14:paraId="76A1632B" w14:textId="77777777" w:rsidR="00EF0A13" w:rsidRDefault="00EF0A13" w:rsidP="00EF0A13">
      <w:pPr>
        <w:spacing w:before="120" w:after="120"/>
        <w:jc w:val="both"/>
        <w:rPr>
          <w:rFonts w:ascii="Times New Roman" w:hAnsi="Times New Roman" w:cs="Times New Roman"/>
        </w:rPr>
      </w:pPr>
      <w:commentRangeStart w:id="6"/>
      <w:commentRangeStart w:id="7"/>
      <w:r>
        <w:rPr>
          <w:rFonts w:ascii="Times New Roman" w:hAnsi="Times New Roman" w:cs="Times New Roman"/>
        </w:rPr>
        <w:t>Comm 4</w:t>
      </w:r>
      <w:commentRangeEnd w:id="6"/>
      <w:r>
        <w:rPr>
          <w:rStyle w:val="CommentReference"/>
        </w:rPr>
        <w:commentReference w:id="6"/>
      </w:r>
      <w:commentRangeEnd w:id="7"/>
      <w:r>
        <w:rPr>
          <w:rStyle w:val="CommentReference"/>
        </w:rPr>
        <w:commentReference w:id="7"/>
      </w:r>
    </w:p>
    <w:p w14:paraId="2866612F" w14:textId="77777777" w:rsidR="00EF0A13" w:rsidRDefault="00EF0A13" w:rsidP="00EF0A13">
      <w:pPr>
        <w:spacing w:before="120" w:after="120"/>
        <w:jc w:val="both"/>
        <w:rPr>
          <w:rFonts w:ascii="Times New Roman" w:hAnsi="Times New Roman" w:cs="Times New Roman"/>
        </w:rPr>
      </w:pPr>
    </w:p>
    <w:p w14:paraId="7AAB0596" w14:textId="77777777" w:rsidR="00EF0A13" w:rsidRPr="000432BC" w:rsidRDefault="00EF0A13" w:rsidP="00EF0A13">
      <w:pPr>
        <w:spacing w:before="120" w:after="120"/>
        <w:jc w:val="both"/>
        <w:rPr>
          <w:rFonts w:ascii="Times New Roman" w:hAnsi="Times New Roman" w:cs="Times New Roman"/>
        </w:rPr>
      </w:pPr>
      <w:r>
        <w:rPr>
          <w:rFonts w:ascii="Times New Roman" w:hAnsi="Times New Roman" w:cs="Times New Roman"/>
        </w:rPr>
        <w:t>First step:</w:t>
      </w:r>
    </w:p>
    <w:p w14:paraId="0E025091" w14:textId="77777777" w:rsidR="00EF0A13" w:rsidRDefault="00EF0A13" w:rsidP="00EF0A13">
      <w:pPr>
        <w:spacing w:before="120" w:after="120"/>
        <w:jc w:val="both"/>
        <w:rPr>
          <w:rFonts w:ascii="Times New Roman" w:hAnsi="Times New Roman" w:cs="Times New Roman"/>
        </w:rPr>
      </w:pPr>
      <w:r w:rsidRPr="000432BC">
        <w:rPr>
          <w:rFonts w:ascii="Times New Roman" w:hAnsi="Times New Roman" w:cs="Times New Roman"/>
        </w:rPr>
        <w:t>We selected the available metadata on the deadwood samplings per plot (Hoffmeister 1,2,3, bottoms-up). The sampling methods are extensively described in (</w:t>
      </w:r>
      <w:r>
        <w:rPr>
          <w:rFonts w:ascii="Times New Roman" w:hAnsi="Times New Roman" w:cs="Times New Roman"/>
        </w:rPr>
        <w:t xml:space="preserve">the Jenik plot guidebook), and the table about necromass contains the site and plot ID that, combined, create a unique key ID, </w:t>
      </w:r>
      <w:r w:rsidRPr="008D2766">
        <w:rPr>
          <w:rFonts w:ascii="Times New Roman" w:hAnsi="Times New Roman" w:cs="Times New Roman"/>
          <w:highlight w:val="magenta"/>
        </w:rPr>
        <w:t>tree species</w:t>
      </w:r>
      <w:r w:rsidRPr="008D2766">
        <w:rPr>
          <w:rFonts w:ascii="Times New Roman" w:hAnsi="Times New Roman" w:cs="Times New Roman"/>
        </w:rPr>
        <w:t>,</w:t>
      </w:r>
      <w:r>
        <w:rPr>
          <w:rFonts w:ascii="Times New Roman" w:hAnsi="Times New Roman" w:cs="Times New Roman"/>
        </w:rPr>
        <w:t xml:space="preserve"> </w:t>
      </w:r>
      <w:r w:rsidRPr="008D2766">
        <w:rPr>
          <w:rFonts w:ascii="Times New Roman" w:hAnsi="Times New Roman" w:cs="Times New Roman"/>
          <w:highlight w:val="green"/>
        </w:rPr>
        <w:t>type of lying deadwood</w:t>
      </w:r>
      <w:r>
        <w:rPr>
          <w:rFonts w:ascii="Times New Roman" w:hAnsi="Times New Roman" w:cs="Times New Roman"/>
        </w:rPr>
        <w:t xml:space="preserve">, </w:t>
      </w:r>
      <w:r w:rsidRPr="008D2766">
        <w:rPr>
          <w:rFonts w:ascii="Times New Roman" w:hAnsi="Times New Roman" w:cs="Times New Roman"/>
          <w:highlight w:val="red"/>
        </w:rPr>
        <w:t>deadwood volume</w:t>
      </w:r>
      <w:r>
        <w:rPr>
          <w:rFonts w:ascii="Times New Roman" w:hAnsi="Times New Roman" w:cs="Times New Roman"/>
        </w:rPr>
        <w:t xml:space="preserve">, and </w:t>
      </w:r>
      <w:r w:rsidRPr="000432BC">
        <w:rPr>
          <w:rFonts w:ascii="Times New Roman" w:hAnsi="Times New Roman" w:cs="Times New Roman"/>
          <w:highlight w:val="cyan"/>
        </w:rPr>
        <w:t>decay stage</w:t>
      </w:r>
      <w:r>
        <w:rPr>
          <w:rFonts w:ascii="Times New Roman" w:hAnsi="Times New Roman" w:cs="Times New Roman"/>
        </w:rPr>
        <w:t xml:space="preserve">. </w:t>
      </w:r>
    </w:p>
    <w:p w14:paraId="09D994EF" w14:textId="77777777" w:rsidR="00EF0A13" w:rsidRDefault="00EF0A13" w:rsidP="00EF0A13">
      <w:pPr>
        <w:spacing w:before="120" w:after="120"/>
        <w:jc w:val="both"/>
        <w:rPr>
          <w:rFonts w:ascii="Times New Roman" w:hAnsi="Times New Roman" w:cs="Times New Roman"/>
        </w:rPr>
      </w:pPr>
    </w:p>
    <w:p w14:paraId="7B334885" w14:textId="37FC607F" w:rsidR="00EF0A13" w:rsidRPr="002732B8" w:rsidRDefault="00EF0A13" w:rsidP="00EF0A13">
      <w:pPr>
        <w:pStyle w:val="FirstParagraph"/>
        <w:jc w:val="both"/>
        <w:rPr>
          <w:rFonts w:ascii="Times New Roman" w:hAnsi="Times New Roman" w:cs="Times New Roman"/>
          <w:sz w:val="22"/>
          <w:szCs w:val="22"/>
        </w:rPr>
      </w:pPr>
      <w:r w:rsidRPr="002732B8">
        <w:rPr>
          <w:rFonts w:ascii="Times New Roman" w:hAnsi="Times New Roman" w:cs="Times New Roman"/>
          <w:sz w:val="22"/>
          <w:szCs w:val="22"/>
        </w:rPr>
        <w:t xml:space="preserve">Deadwood </w:t>
      </w:r>
      <w:r w:rsidRPr="002732B8">
        <w:rPr>
          <w:rFonts w:ascii="Times New Roman" w:hAnsi="Times New Roman" w:cs="Times New Roman"/>
          <w:sz w:val="22"/>
          <w:szCs w:val="22"/>
          <w:highlight w:val="cyan"/>
        </w:rPr>
        <w:t>decay stage</w:t>
      </w:r>
      <w:r w:rsidRPr="002732B8">
        <w:rPr>
          <w:rFonts w:ascii="Times New Roman" w:hAnsi="Times New Roman" w:cs="Times New Roman"/>
          <w:sz w:val="22"/>
          <w:szCs w:val="22"/>
        </w:rPr>
        <w:t xml:space="preserve"> basic wood density conversion from 5 decay classes as in </w:t>
      </w:r>
      <w:proofErr w:type="spellStart"/>
      <w:r w:rsidRPr="002732B8">
        <w:rPr>
          <w:rFonts w:ascii="Times New Roman" w:hAnsi="Times New Roman" w:cs="Times New Roman"/>
          <w:sz w:val="22"/>
          <w:szCs w:val="22"/>
        </w:rPr>
        <w:t>doroteja</w:t>
      </w:r>
      <w:proofErr w:type="spellEnd"/>
      <w:r w:rsidRPr="002732B8">
        <w:rPr>
          <w:rFonts w:ascii="Times New Roman" w:hAnsi="Times New Roman" w:cs="Times New Roman"/>
          <w:sz w:val="22"/>
          <w:szCs w:val="22"/>
        </w:rPr>
        <w:t xml:space="preserve"> et al., (2023) to 4 classes as in Jenik dataset (Hofmeister et al.,</w:t>
      </w:r>
      <w:r>
        <w:rPr>
          <w:rFonts w:ascii="Times New Roman" w:hAnsi="Times New Roman" w:cs="Times New Roman"/>
          <w:sz w:val="22"/>
          <w:szCs w:val="22"/>
        </w:rPr>
        <w:t xml:space="preserve"> </w:t>
      </w:r>
      <w:proofErr w:type="gramStart"/>
      <w:r>
        <w:rPr>
          <w:rFonts w:ascii="Times New Roman" w:hAnsi="Times New Roman" w:cs="Times New Roman"/>
          <w:sz w:val="22"/>
          <w:szCs w:val="22"/>
        </w:rPr>
        <w:t>2015</w:t>
      </w:r>
      <w:r w:rsidRPr="002732B8">
        <w:rPr>
          <w:rFonts w:ascii="Times New Roman" w:hAnsi="Times New Roman" w:cs="Times New Roman"/>
          <w:sz w:val="22"/>
          <w:szCs w:val="22"/>
        </w:rPr>
        <w:t xml:space="preserve"> )</w:t>
      </w:r>
      <w:proofErr w:type="gramEnd"/>
      <w:r w:rsidRPr="002732B8">
        <w:rPr>
          <w:rFonts w:ascii="Times New Roman" w:hAnsi="Times New Roman" w:cs="Times New Roman"/>
          <w:sz w:val="22"/>
          <w:szCs w:val="22"/>
        </w:rPr>
        <w:t xml:space="preserve"> for the available tree genus. This conversion is based on the adjusted values for a generalization in Europe of </w:t>
      </w:r>
      <w:hyperlink r:id="rId11" w:history="1">
        <w:r w:rsidRPr="002732B8">
          <w:rPr>
            <w:rFonts w:ascii="Times New Roman" w:hAnsi="Times New Roman" w:cs="Times New Roman"/>
            <w:sz w:val="22"/>
            <w:szCs w:val="22"/>
          </w:rPr>
          <w:t>https://doi.org/10.1016/j.foreco.2023.121431</w:t>
        </w:r>
      </w:hyperlink>
      <w:r w:rsidRPr="002732B8">
        <w:rPr>
          <w:rFonts w:ascii="Times New Roman" w:hAnsi="Times New Roman" w:cs="Times New Roman"/>
          <w:sz w:val="22"/>
          <w:szCs w:val="22"/>
        </w:rPr>
        <w:t>. To derive the function for the decay stages we used the statistical function to calculate quartiles from quantile distributed functions of deadwood decay stages based on 5 categories. Theory behind the statistical function</w:t>
      </w:r>
    </w:p>
    <w:p w14:paraId="79722341" w14:textId="77777777" w:rsidR="00EF0A13" w:rsidRPr="002732B8" w:rsidRDefault="00EF0A13" w:rsidP="00EF0A13">
      <w:pPr>
        <w:pStyle w:val="BodyText"/>
        <w:jc w:val="both"/>
        <w:rPr>
          <w:rFonts w:ascii="Times New Roman" w:hAnsi="Times New Roman" w:cs="Times New Roman"/>
          <w:sz w:val="22"/>
          <w:szCs w:val="22"/>
        </w:rPr>
      </w:pPr>
      <w:r w:rsidRPr="002732B8">
        <w:rPr>
          <w:rFonts w:ascii="Times New Roman" w:hAnsi="Times New Roman" w:cs="Times New Roman"/>
          <w:sz w:val="22"/>
          <w:szCs w:val="22"/>
        </w:rPr>
        <w:t xml:space="preserve">The </w:t>
      </w:r>
      <w:r w:rsidRPr="002732B8">
        <w:rPr>
          <w:rStyle w:val="VerbatimChar"/>
          <w:rFonts w:ascii="Times New Roman" w:hAnsi="Times New Roman" w:cs="Times New Roman"/>
          <w:szCs w:val="22"/>
        </w:rPr>
        <w:t>quantile</w:t>
      </w:r>
      <w:r w:rsidRPr="002732B8">
        <w:rPr>
          <w:rFonts w:ascii="Times New Roman" w:hAnsi="Times New Roman" w:cs="Times New Roman"/>
          <w:sz w:val="22"/>
          <w:szCs w:val="22"/>
        </w:rPr>
        <w:t xml:space="preserve"> function calculates quantiles based on a specified probability distribution. The formula for calculating quantiles is based on the definition of quantiles and the probability distribution.</w:t>
      </w:r>
    </w:p>
    <w:p w14:paraId="2ABF6814" w14:textId="77777777" w:rsidR="00EF0A13" w:rsidRPr="002732B8" w:rsidRDefault="00EF0A13" w:rsidP="00EF0A13">
      <w:pPr>
        <w:pStyle w:val="BodyText"/>
        <w:jc w:val="both"/>
        <w:rPr>
          <w:rFonts w:ascii="Times New Roman" w:hAnsi="Times New Roman" w:cs="Times New Roman"/>
          <w:sz w:val="22"/>
          <w:szCs w:val="22"/>
        </w:rPr>
      </w:pPr>
      <w:r w:rsidRPr="002732B8">
        <w:rPr>
          <w:rFonts w:ascii="Times New Roman" w:hAnsi="Times New Roman" w:cs="Times New Roman"/>
          <w:sz w:val="22"/>
          <w:szCs w:val="22"/>
        </w:rPr>
        <w:t xml:space="preserve">The formula for the quantile at probability </w:t>
      </w:r>
      <w:r w:rsidRPr="002732B8">
        <w:rPr>
          <w:rStyle w:val="VerbatimChar"/>
          <w:rFonts w:ascii="Times New Roman" w:hAnsi="Times New Roman" w:cs="Times New Roman"/>
          <w:szCs w:val="22"/>
        </w:rPr>
        <w:t>p</w:t>
      </w:r>
      <w:r w:rsidRPr="002732B8">
        <w:rPr>
          <w:rFonts w:ascii="Times New Roman" w:hAnsi="Times New Roman" w:cs="Times New Roman"/>
          <w:sz w:val="22"/>
          <w:szCs w:val="22"/>
        </w:rPr>
        <w:t xml:space="preserve"> (where </w:t>
      </w:r>
      <w:r w:rsidRPr="002732B8">
        <w:rPr>
          <w:rStyle w:val="VerbatimChar"/>
          <w:rFonts w:ascii="Times New Roman" w:hAnsi="Times New Roman" w:cs="Times New Roman"/>
          <w:szCs w:val="22"/>
        </w:rPr>
        <w:t>p</w:t>
      </w:r>
      <w:r w:rsidRPr="002732B8">
        <w:rPr>
          <w:rFonts w:ascii="Times New Roman" w:hAnsi="Times New Roman" w:cs="Times New Roman"/>
          <w:sz w:val="22"/>
          <w:szCs w:val="22"/>
        </w:rPr>
        <w:t xml:space="preserve"> is a value between 0 and 1) is defined as:</w:t>
      </w:r>
    </w:p>
    <w:p w14:paraId="0C089DA9" w14:textId="77777777" w:rsidR="00EF0A13" w:rsidRPr="002732B8" w:rsidRDefault="00EF0A13" w:rsidP="00EF0A13">
      <w:pPr>
        <w:pStyle w:val="BodyText"/>
        <w:jc w:val="both"/>
        <w:rPr>
          <w:rFonts w:ascii="Times New Roman" w:hAnsi="Times New Roman" w:cs="Times New Roman"/>
          <w:sz w:val="22"/>
          <w:szCs w:val="22"/>
        </w:rPr>
      </w:pPr>
      <m:oMathPara>
        <m:oMathParaPr>
          <m:jc m:val="center"/>
        </m:oMathParaP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p</m:t>
              </m:r>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1</m:t>
              </m:r>
              <m:r>
                <m:rPr>
                  <m:sty m:val="p"/>
                </m:rPr>
                <w:rPr>
                  <w:rFonts w:ascii="Cambria Math" w:hAnsi="Cambria Math" w:cs="Times New Roman"/>
                  <w:sz w:val="22"/>
                  <w:szCs w:val="22"/>
                </w:rPr>
                <m:t>-</m:t>
              </m:r>
              <m:r>
                <w:rPr>
                  <w:rFonts w:ascii="Cambria Math" w:hAnsi="Cambria Math" w:cs="Times New Roman"/>
                  <w:sz w:val="22"/>
                  <w:szCs w:val="22"/>
                </w:rPr>
                <m:t>g</m:t>
              </m:r>
            </m:e>
          </m:d>
          <m:r>
            <m:rPr>
              <m:sty m:val="p"/>
            </m:rPr>
            <w:rPr>
              <w:rFonts w:ascii="Cambria Math" w:hAnsi="Cambria Math" w:cs="Times New Roman"/>
              <w:sz w:val="22"/>
              <w:szCs w:val="22"/>
            </w:rPr>
            <m:t>×</m:t>
          </m:r>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e>
          </m:d>
          <m:r>
            <m:rPr>
              <m:sty m:val="p"/>
            </m:rPr>
            <w:rPr>
              <w:rFonts w:ascii="Cambria Math" w:hAnsi="Cambria Math" w:cs="Times New Roman"/>
              <w:sz w:val="22"/>
              <w:szCs w:val="22"/>
            </w:rPr>
            <m:t>+</m:t>
          </m:r>
          <m:r>
            <w:rPr>
              <w:rFonts w:ascii="Cambria Math" w:hAnsi="Cambria Math" w:cs="Times New Roman"/>
              <w:sz w:val="22"/>
              <w:szCs w:val="22"/>
            </w:rPr>
            <m:t>g</m:t>
          </m:r>
          <m:r>
            <m:rPr>
              <m:sty m:val="p"/>
            </m:rPr>
            <w:rPr>
              <w:rFonts w:ascii="Cambria Math" w:hAnsi="Cambria Math" w:cs="Times New Roman"/>
              <w:sz w:val="22"/>
              <w:szCs w:val="22"/>
            </w:rPr>
            <m:t>×</m:t>
          </m:r>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e>
          </m:d>
          <m:r>
            <w:rPr>
              <w:rFonts w:ascii="Cambria Math" w:hAnsi="Cambria Math" w:cs="Times New Roman"/>
              <w:sz w:val="22"/>
              <w:szCs w:val="22"/>
            </w:rPr>
            <m:t> </m:t>
          </m:r>
          <m:r>
            <m:rPr>
              <m:nor/>
            </m:rPr>
            <w:rPr>
              <w:rFonts w:ascii="Times New Roman" w:hAnsi="Times New Roman" w:cs="Times New Roman"/>
              <w:b/>
              <w:bCs/>
              <w:sz w:val="22"/>
              <w:szCs w:val="22"/>
            </w:rPr>
            <m:t>(Eq. 1)</m:t>
          </m:r>
        </m:oMath>
      </m:oMathPara>
    </w:p>
    <w:p w14:paraId="4195206E" w14:textId="77777777" w:rsidR="00EF0A13" w:rsidRPr="002732B8" w:rsidRDefault="00EF0A13" w:rsidP="00EF0A13">
      <w:pPr>
        <w:pStyle w:val="FirstParagraph"/>
        <w:jc w:val="both"/>
        <w:rPr>
          <w:rFonts w:ascii="Times New Roman" w:hAnsi="Times New Roman" w:cs="Times New Roman"/>
          <w:sz w:val="22"/>
          <w:szCs w:val="22"/>
        </w:rPr>
      </w:pPr>
      <w:r w:rsidRPr="002732B8">
        <w:rPr>
          <w:rFonts w:ascii="Times New Roman" w:hAnsi="Times New Roman" w:cs="Times New Roman"/>
          <w:sz w:val="22"/>
          <w:szCs w:val="22"/>
        </w:rPr>
        <w:t>Where:</w:t>
      </w:r>
    </w:p>
    <w:p w14:paraId="1109F31B" w14:textId="77777777" w:rsidR="00EF0A13" w:rsidRPr="002732B8" w:rsidRDefault="00EF0A13" w:rsidP="00EF0A13">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p</m:t>
            </m:r>
          </m:e>
        </m:d>
      </m:oMath>
      <w:r w:rsidRPr="002732B8">
        <w:rPr>
          <w:rFonts w:ascii="Times New Roman" w:hAnsi="Times New Roman" w:cs="Times New Roman"/>
          <w:sz w:val="22"/>
          <w:szCs w:val="22"/>
        </w:rPr>
        <w:t xml:space="preserve"> is the quantile at probability </w:t>
      </w:r>
      <m:oMath>
        <m:r>
          <w:rPr>
            <w:rFonts w:ascii="Cambria Math" w:hAnsi="Cambria Math" w:cs="Times New Roman"/>
            <w:sz w:val="22"/>
            <w:szCs w:val="22"/>
          </w:rPr>
          <m:t>p</m:t>
        </m:r>
      </m:oMath>
      <w:r w:rsidRPr="002732B8">
        <w:rPr>
          <w:rFonts w:ascii="Times New Roman" w:hAnsi="Times New Roman" w:cs="Times New Roman"/>
          <w:sz w:val="22"/>
          <w:szCs w:val="22"/>
        </w:rPr>
        <w:t>.</w:t>
      </w:r>
    </w:p>
    <w:p w14:paraId="45C00FCD" w14:textId="77777777" w:rsidR="00EF0A13" w:rsidRPr="002732B8" w:rsidRDefault="00EF0A13" w:rsidP="00EF0A13">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e>
        </m:d>
      </m:oMath>
      <w:r w:rsidRPr="002732B8">
        <w:rPr>
          <w:rFonts w:ascii="Times New Roman" w:hAnsi="Times New Roman" w:cs="Times New Roman"/>
          <w:sz w:val="22"/>
          <w:szCs w:val="22"/>
        </w:rPr>
        <w:t xml:space="preserve"> is the </w:t>
      </w:r>
      <m:oMath>
        <m:r>
          <w:rPr>
            <w:rFonts w:ascii="Cambria Math" w:hAnsi="Cambria Math" w:cs="Times New Roman"/>
            <w:sz w:val="22"/>
            <w:szCs w:val="22"/>
          </w:rPr>
          <m:t>j</m:t>
        </m:r>
      </m:oMath>
      <w:r w:rsidRPr="002732B8">
        <w:rPr>
          <w:rFonts w:ascii="Times New Roman" w:hAnsi="Times New Roman" w:cs="Times New Roman"/>
          <w:sz w:val="22"/>
          <w:szCs w:val="22"/>
        </w:rPr>
        <w:t xml:space="preserve">-th order statistic, which is the data point just below the </w:t>
      </w:r>
      <m:oMath>
        <m:r>
          <w:rPr>
            <w:rFonts w:ascii="Cambria Math" w:hAnsi="Cambria Math" w:cs="Times New Roman"/>
            <w:sz w:val="22"/>
            <w:szCs w:val="22"/>
          </w:rPr>
          <m:t>p</m:t>
        </m:r>
      </m:oMath>
      <w:r w:rsidRPr="002732B8">
        <w:rPr>
          <w:rFonts w:ascii="Times New Roman" w:hAnsi="Times New Roman" w:cs="Times New Roman"/>
          <w:sz w:val="22"/>
          <w:szCs w:val="22"/>
        </w:rPr>
        <w:t>-th percentile.</w:t>
      </w:r>
    </w:p>
    <w:p w14:paraId="742AFFC4" w14:textId="77777777" w:rsidR="00EF0A13" w:rsidRPr="002732B8" w:rsidRDefault="00EF0A13" w:rsidP="00EF0A13">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e>
        </m:d>
      </m:oMath>
      <w:r w:rsidRPr="002732B8">
        <w:rPr>
          <w:rFonts w:ascii="Times New Roman" w:hAnsi="Times New Roman" w:cs="Times New Roman"/>
          <w:sz w:val="22"/>
          <w:szCs w:val="22"/>
        </w:rPr>
        <w:t xml:space="preserve"> is the </w:t>
      </w:r>
      <m:oMath>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oMath>
      <w:r w:rsidRPr="002732B8">
        <w:rPr>
          <w:rFonts w:ascii="Times New Roman" w:hAnsi="Times New Roman" w:cs="Times New Roman"/>
          <w:sz w:val="22"/>
          <w:szCs w:val="22"/>
        </w:rPr>
        <w:t xml:space="preserve">-th order statistic, which is the data point just above the </w:t>
      </w:r>
      <m:oMath>
        <m:r>
          <w:rPr>
            <w:rFonts w:ascii="Cambria Math" w:hAnsi="Cambria Math" w:cs="Times New Roman"/>
            <w:sz w:val="22"/>
            <w:szCs w:val="22"/>
          </w:rPr>
          <m:t>p</m:t>
        </m:r>
      </m:oMath>
      <w:r w:rsidRPr="002732B8">
        <w:rPr>
          <w:rFonts w:ascii="Times New Roman" w:hAnsi="Times New Roman" w:cs="Times New Roman"/>
          <w:sz w:val="22"/>
          <w:szCs w:val="22"/>
        </w:rPr>
        <w:t>-th percentile.</w:t>
      </w:r>
    </w:p>
    <w:p w14:paraId="30A2E94E" w14:textId="77777777" w:rsidR="00EF0A13" w:rsidRPr="002732B8" w:rsidRDefault="00EF0A13" w:rsidP="00EF0A13">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g</m:t>
        </m:r>
      </m:oMath>
      <w:r w:rsidRPr="002732B8">
        <w:rPr>
          <w:rFonts w:ascii="Times New Roman" w:hAnsi="Times New Roman" w:cs="Times New Roman"/>
          <w:sz w:val="22"/>
          <w:szCs w:val="22"/>
        </w:rPr>
        <w:t xml:space="preserve"> is the fractional part of the index </w:t>
      </w:r>
      <m:oMath>
        <m:r>
          <w:rPr>
            <w:rFonts w:ascii="Cambria Math" w:hAnsi="Cambria Math" w:cs="Times New Roman"/>
            <w:sz w:val="22"/>
            <w:szCs w:val="22"/>
          </w:rPr>
          <m:t>j</m:t>
        </m:r>
      </m:oMath>
      <w:r w:rsidRPr="002732B8">
        <w:rPr>
          <w:rFonts w:ascii="Times New Roman" w:hAnsi="Times New Roman" w:cs="Times New Roman"/>
          <w:sz w:val="22"/>
          <w:szCs w:val="22"/>
        </w:rPr>
        <w:t xml:space="preserve"> (i.e., the decimal portion).</w:t>
      </w:r>
    </w:p>
    <w:p w14:paraId="74DD2CC6" w14:textId="77777777" w:rsidR="00EF0A13" w:rsidRPr="002732B8" w:rsidRDefault="00EF0A13" w:rsidP="00EF0A13">
      <w:pPr>
        <w:pStyle w:val="FirstParagraph"/>
        <w:jc w:val="both"/>
        <w:rPr>
          <w:rFonts w:ascii="Times New Roman" w:hAnsi="Times New Roman" w:cs="Times New Roman"/>
          <w:sz w:val="22"/>
          <w:szCs w:val="22"/>
        </w:rPr>
      </w:pPr>
      <w:r w:rsidRPr="002732B8">
        <w:rPr>
          <w:rFonts w:ascii="Times New Roman" w:hAnsi="Times New Roman" w:cs="Times New Roman"/>
          <w:sz w:val="22"/>
          <w:szCs w:val="22"/>
        </w:rPr>
        <w:t xml:space="preserve">The </w:t>
      </w:r>
      <w:r w:rsidRPr="002732B8">
        <w:rPr>
          <w:rStyle w:val="VerbatimChar"/>
          <w:rFonts w:ascii="Times New Roman" w:hAnsi="Times New Roman" w:cs="Times New Roman"/>
          <w:szCs w:val="22"/>
        </w:rPr>
        <w:t>quantile</w:t>
      </w:r>
      <w:r w:rsidRPr="002732B8">
        <w:rPr>
          <w:rFonts w:ascii="Times New Roman" w:hAnsi="Times New Roman" w:cs="Times New Roman"/>
          <w:sz w:val="22"/>
          <w:szCs w:val="22"/>
        </w:rPr>
        <w:t xml:space="preserve"> function in R uses linear interpolation to calculate quantiles. It estimates the quantiles by finding the order statistics </w:t>
      </w: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e>
        </m:d>
      </m:oMath>
      <w:r w:rsidRPr="002732B8">
        <w:rPr>
          <w:rFonts w:ascii="Times New Roman" w:hAnsi="Times New Roman" w:cs="Times New Roman"/>
          <w:sz w:val="22"/>
          <w:szCs w:val="22"/>
        </w:rPr>
        <w:t xml:space="preserve"> and </w:t>
      </w: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e>
        </m:d>
      </m:oMath>
      <w:r w:rsidRPr="002732B8">
        <w:rPr>
          <w:rFonts w:ascii="Times New Roman" w:hAnsi="Times New Roman" w:cs="Times New Roman"/>
          <w:sz w:val="22"/>
          <w:szCs w:val="22"/>
        </w:rPr>
        <w:t xml:space="preserve"> based on the specified </w:t>
      </w:r>
      <m:oMath>
        <m:r>
          <w:rPr>
            <w:rFonts w:ascii="Cambria Math" w:hAnsi="Cambria Math" w:cs="Times New Roman"/>
            <w:sz w:val="22"/>
            <w:szCs w:val="22"/>
          </w:rPr>
          <m:t>p</m:t>
        </m:r>
      </m:oMath>
      <w:r w:rsidRPr="002732B8">
        <w:rPr>
          <w:rFonts w:ascii="Times New Roman" w:hAnsi="Times New Roman" w:cs="Times New Roman"/>
          <w:sz w:val="22"/>
          <w:szCs w:val="22"/>
        </w:rPr>
        <w:t>, and then performs the linear interpolation using the formula above to estimate the quantile value.</w:t>
      </w:r>
    </w:p>
    <w:p w14:paraId="640BA728" w14:textId="77777777" w:rsidR="00EF0A13" w:rsidRPr="002732B8" w:rsidRDefault="00EF0A13" w:rsidP="00EF0A13">
      <w:pPr>
        <w:pStyle w:val="BodyText"/>
        <w:jc w:val="both"/>
        <w:rPr>
          <w:rFonts w:ascii="Times New Roman" w:hAnsi="Times New Roman" w:cs="Times New Roman"/>
          <w:sz w:val="22"/>
          <w:szCs w:val="22"/>
        </w:rPr>
      </w:pPr>
      <w:r w:rsidRPr="002732B8">
        <w:rPr>
          <w:rFonts w:ascii="Times New Roman" w:hAnsi="Times New Roman" w:cs="Times New Roman"/>
          <w:sz w:val="22"/>
          <w:szCs w:val="22"/>
        </w:rPr>
        <w:t xml:space="preserve">In simpler terms, the </w:t>
      </w:r>
      <w:r w:rsidRPr="002732B8">
        <w:rPr>
          <w:rStyle w:val="VerbatimChar"/>
          <w:rFonts w:ascii="Times New Roman" w:hAnsi="Times New Roman" w:cs="Times New Roman"/>
          <w:szCs w:val="22"/>
        </w:rPr>
        <w:t>quantile</w:t>
      </w:r>
      <w:r w:rsidRPr="002732B8">
        <w:rPr>
          <w:rFonts w:ascii="Times New Roman" w:hAnsi="Times New Roman" w:cs="Times New Roman"/>
          <w:sz w:val="22"/>
          <w:szCs w:val="22"/>
        </w:rPr>
        <w:t xml:space="preserve"> function finds the two data points that bound the specified quantile, calculates a weighted average of those points, and returns the estimated quantile value. This allows you to divide your data into segments based on the specified probabilities (e.g., quartiles at </w:t>
      </w:r>
      <m:oMath>
        <m:r>
          <w:rPr>
            <w:rFonts w:ascii="Cambria Math" w:hAnsi="Cambria Math" w:cs="Times New Roman"/>
            <w:sz w:val="22"/>
            <w:szCs w:val="22"/>
          </w:rPr>
          <m:t>p</m:t>
        </m:r>
        <m:r>
          <m:rPr>
            <m:sty m:val="p"/>
          </m:rPr>
          <w:rPr>
            <w:rFonts w:ascii="Cambria Math" w:hAnsi="Cambria Math" w:cs="Times New Roman"/>
            <w:sz w:val="22"/>
            <w:szCs w:val="22"/>
          </w:rPr>
          <m:t>=</m:t>
        </m:r>
        <m:r>
          <w:rPr>
            <w:rFonts w:ascii="Cambria Math" w:hAnsi="Cambria Math" w:cs="Times New Roman"/>
            <w:sz w:val="22"/>
            <w:szCs w:val="22"/>
          </w:rPr>
          <m:t>0.25</m:t>
        </m:r>
        <m:r>
          <m:rPr>
            <m:sty m:val="p"/>
          </m:rPr>
          <w:rPr>
            <w:rFonts w:ascii="Cambria Math" w:hAnsi="Cambria Math" w:cs="Times New Roman"/>
            <w:sz w:val="22"/>
            <w:szCs w:val="22"/>
          </w:rPr>
          <m:t>,</m:t>
        </m:r>
        <m:r>
          <w:rPr>
            <w:rFonts w:ascii="Cambria Math" w:hAnsi="Cambria Math" w:cs="Times New Roman"/>
            <w:sz w:val="22"/>
            <w:szCs w:val="22"/>
          </w:rPr>
          <m:t>0.5</m:t>
        </m:r>
        <m:r>
          <m:rPr>
            <m:sty m:val="p"/>
          </m:rPr>
          <w:rPr>
            <w:rFonts w:ascii="Cambria Math" w:hAnsi="Cambria Math" w:cs="Times New Roman"/>
            <w:sz w:val="22"/>
            <w:szCs w:val="22"/>
          </w:rPr>
          <m:t>,</m:t>
        </m:r>
        <m:r>
          <w:rPr>
            <w:rFonts w:ascii="Cambria Math" w:hAnsi="Cambria Math" w:cs="Times New Roman"/>
            <w:sz w:val="22"/>
            <w:szCs w:val="22"/>
          </w:rPr>
          <m:t>0.75</m:t>
        </m:r>
      </m:oMath>
      <w:r w:rsidRPr="002732B8">
        <w:rPr>
          <w:rFonts w:ascii="Times New Roman" w:hAnsi="Times New Roman" w:cs="Times New Roman"/>
          <w:sz w:val="22"/>
          <w:szCs w:val="22"/>
        </w:rPr>
        <w:t>).</w:t>
      </w:r>
    </w:p>
    <w:p w14:paraId="2E1893DB" w14:textId="77777777" w:rsidR="00EF0A13" w:rsidRDefault="00EF0A13" w:rsidP="00EF0A13">
      <w:pPr>
        <w:pStyle w:val="BodyText"/>
        <w:jc w:val="both"/>
        <w:rPr>
          <w:rFonts w:ascii="Times New Roman" w:hAnsi="Times New Roman" w:cs="Times New Roman"/>
          <w:sz w:val="18"/>
          <w:szCs w:val="18"/>
        </w:rPr>
      </w:pPr>
    </w:p>
    <w:p w14:paraId="7FED08BA" w14:textId="77777777" w:rsidR="00EF0A13" w:rsidRPr="00D55FAB" w:rsidRDefault="00EF0A13" w:rsidP="00EF0A13">
      <w:pPr>
        <w:pStyle w:val="BodyText"/>
        <w:jc w:val="both"/>
        <w:rPr>
          <w:rFonts w:ascii="Times New Roman" w:hAnsi="Times New Roman" w:cs="Times New Roman"/>
          <w:sz w:val="18"/>
          <w:szCs w:val="18"/>
        </w:rPr>
      </w:pPr>
      <w:r w:rsidRPr="00D55FAB">
        <w:rPr>
          <w:rFonts w:ascii="Times New Roman" w:hAnsi="Times New Roman" w:cs="Times New Roman"/>
          <w:sz w:val="18"/>
          <w:szCs w:val="18"/>
        </w:rPr>
        <w:lastRenderedPageBreak/>
        <w:t xml:space="preserve">Table 1. Tables of deadwood decay classes per tree genus or tree functional type aggregated. All the values are expressed as dry biomass per volume </w:t>
      </w:r>
      <m:oMath>
        <m:r>
          <m:rPr>
            <m:nor/>
          </m:rPr>
          <w:rPr>
            <w:rFonts w:ascii="Times New Roman" w:hAnsi="Times New Roman" w:cs="Times New Roman"/>
            <w:sz w:val="18"/>
            <w:szCs w:val="18"/>
          </w:rPr>
          <m:t>kg</m:t>
        </m:r>
        <m:r>
          <m:rPr>
            <m:sty m:val="p"/>
          </m:rPr>
          <w:rPr>
            <w:rFonts w:ascii="Cambria Math" w:hAnsi="Cambria Math" w:cs="Times New Roman"/>
            <w:sz w:val="18"/>
            <w:szCs w:val="18"/>
          </w:rPr>
          <m:t>⋅</m:t>
        </m:r>
        <m:sSup>
          <m:sSupPr>
            <m:ctrlPr>
              <w:rPr>
                <w:rFonts w:ascii="Cambria Math" w:hAnsi="Cambria Math" w:cs="Times New Roman"/>
                <w:sz w:val="18"/>
                <w:szCs w:val="18"/>
              </w:rPr>
            </m:ctrlPr>
          </m:sSupPr>
          <m:e>
            <m:r>
              <m:rPr>
                <m:nor/>
              </m:rPr>
              <w:rPr>
                <w:rFonts w:ascii="Times New Roman" w:hAnsi="Times New Roman" w:cs="Times New Roman"/>
                <w:sz w:val="18"/>
                <w:szCs w:val="18"/>
              </w:rPr>
              <m:t>m</m:t>
            </m:r>
          </m:e>
          <m:sup>
            <m:r>
              <m:rPr>
                <m:sty m:val="p"/>
              </m:rPr>
              <w:rPr>
                <w:rFonts w:ascii="Cambria Math" w:hAnsi="Cambria Math" w:cs="Times New Roman"/>
                <w:sz w:val="18"/>
                <w:szCs w:val="18"/>
              </w:rPr>
              <m:t>-</m:t>
            </m:r>
            <m:r>
              <w:rPr>
                <w:rFonts w:ascii="Cambria Math" w:hAnsi="Cambria Math" w:cs="Times New Roman"/>
                <w:sz w:val="18"/>
                <w:szCs w:val="18"/>
              </w:rPr>
              <m:t>3</m:t>
            </m:r>
          </m:sup>
        </m:sSup>
      </m:oMath>
      <w:r w:rsidRPr="00D55FAB">
        <w:rPr>
          <w:rFonts w:ascii="Times New Roman" w:hAnsi="Times New Roman" w:cs="Times New Roman"/>
          <w:sz w:val="18"/>
          <w:szCs w:val="18"/>
        </w:rPr>
        <w:t>. The Decay Classes are a function of time, from the most recent wood decay stage to the oldest.</w:t>
      </w:r>
    </w:p>
    <w:tbl>
      <w:tblPr>
        <w:tblStyle w:val="Table"/>
        <w:tblW w:w="5000" w:type="pct"/>
        <w:tblLook w:val="0020" w:firstRow="1" w:lastRow="0" w:firstColumn="0" w:lastColumn="0" w:noHBand="0" w:noVBand="0"/>
      </w:tblPr>
      <w:tblGrid>
        <w:gridCol w:w="1316"/>
        <w:gridCol w:w="1662"/>
        <w:gridCol w:w="1661"/>
        <w:gridCol w:w="1661"/>
        <w:gridCol w:w="1661"/>
        <w:gridCol w:w="1661"/>
      </w:tblGrid>
      <w:tr w:rsidR="00EF0A13" w:rsidRPr="00D55FAB" w14:paraId="7F904998" w14:textId="77777777" w:rsidTr="004D60F8">
        <w:trPr>
          <w:cnfStyle w:val="100000000000" w:firstRow="1" w:lastRow="0" w:firstColumn="0" w:lastColumn="0" w:oddVBand="0" w:evenVBand="0" w:oddHBand="0" w:evenHBand="0" w:firstRowFirstColumn="0" w:firstRowLastColumn="0" w:lastRowFirstColumn="0" w:lastRowLastColumn="0"/>
          <w:tblHeader/>
        </w:trPr>
        <w:tc>
          <w:tcPr>
            <w:tcW w:w="0" w:type="auto"/>
          </w:tcPr>
          <w:p w14:paraId="4374D569"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Species</w:t>
            </w:r>
          </w:p>
        </w:tc>
        <w:tc>
          <w:tcPr>
            <w:tcW w:w="0" w:type="auto"/>
          </w:tcPr>
          <w:p w14:paraId="742BF123"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1</w:t>
            </w:r>
          </w:p>
        </w:tc>
        <w:tc>
          <w:tcPr>
            <w:tcW w:w="0" w:type="auto"/>
          </w:tcPr>
          <w:p w14:paraId="54CEBD4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2</w:t>
            </w:r>
          </w:p>
        </w:tc>
        <w:tc>
          <w:tcPr>
            <w:tcW w:w="0" w:type="auto"/>
          </w:tcPr>
          <w:p w14:paraId="1A414144"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3</w:t>
            </w:r>
          </w:p>
        </w:tc>
        <w:tc>
          <w:tcPr>
            <w:tcW w:w="0" w:type="auto"/>
          </w:tcPr>
          <w:p w14:paraId="54717EB5"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4</w:t>
            </w:r>
          </w:p>
        </w:tc>
        <w:tc>
          <w:tcPr>
            <w:tcW w:w="0" w:type="auto"/>
          </w:tcPr>
          <w:p w14:paraId="2116B7A7"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5</w:t>
            </w:r>
          </w:p>
        </w:tc>
      </w:tr>
      <w:tr w:rsidR="00EF0A13" w:rsidRPr="00D55FAB" w14:paraId="2B66FF81" w14:textId="77777777" w:rsidTr="004D60F8">
        <w:tc>
          <w:tcPr>
            <w:tcW w:w="0" w:type="auto"/>
          </w:tcPr>
          <w:p w14:paraId="5D645AC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Abies</w:t>
            </w:r>
          </w:p>
        </w:tc>
        <w:tc>
          <w:tcPr>
            <w:tcW w:w="0" w:type="auto"/>
          </w:tcPr>
          <w:p w14:paraId="6DFC8426"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343</w:t>
            </w:r>
          </w:p>
        </w:tc>
        <w:tc>
          <w:tcPr>
            <w:tcW w:w="0" w:type="auto"/>
          </w:tcPr>
          <w:p w14:paraId="0B66948D"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305</w:t>
            </w:r>
          </w:p>
        </w:tc>
        <w:tc>
          <w:tcPr>
            <w:tcW w:w="0" w:type="auto"/>
          </w:tcPr>
          <w:p w14:paraId="795DAAA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247</w:t>
            </w:r>
          </w:p>
        </w:tc>
        <w:tc>
          <w:tcPr>
            <w:tcW w:w="0" w:type="auto"/>
          </w:tcPr>
          <w:p w14:paraId="1969BDAA"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174</w:t>
            </w:r>
          </w:p>
        </w:tc>
        <w:tc>
          <w:tcPr>
            <w:tcW w:w="0" w:type="auto"/>
          </w:tcPr>
          <w:p w14:paraId="089DDE54"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149</w:t>
            </w:r>
          </w:p>
        </w:tc>
      </w:tr>
      <w:tr w:rsidR="00EF0A13" w:rsidRPr="00D55FAB" w14:paraId="68AAE61A" w14:textId="77777777" w:rsidTr="004D60F8">
        <w:tc>
          <w:tcPr>
            <w:tcW w:w="0" w:type="auto"/>
          </w:tcPr>
          <w:p w14:paraId="2964BA2D"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Alnus</w:t>
            </w:r>
          </w:p>
        </w:tc>
        <w:tc>
          <w:tcPr>
            <w:tcW w:w="0" w:type="auto"/>
          </w:tcPr>
          <w:p w14:paraId="184720AC"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422</w:t>
            </w:r>
          </w:p>
        </w:tc>
        <w:tc>
          <w:tcPr>
            <w:tcW w:w="0" w:type="auto"/>
          </w:tcPr>
          <w:p w14:paraId="7BBD3588"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359</w:t>
            </w:r>
          </w:p>
        </w:tc>
        <w:tc>
          <w:tcPr>
            <w:tcW w:w="0" w:type="auto"/>
          </w:tcPr>
          <w:p w14:paraId="24BB9473"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286</w:t>
            </w:r>
          </w:p>
        </w:tc>
        <w:tc>
          <w:tcPr>
            <w:tcW w:w="0" w:type="auto"/>
          </w:tcPr>
          <w:p w14:paraId="4B3AC4F0"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197</w:t>
            </w:r>
          </w:p>
        </w:tc>
        <w:tc>
          <w:tcPr>
            <w:tcW w:w="0" w:type="auto"/>
          </w:tcPr>
          <w:p w14:paraId="28A1F7C4"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120</w:t>
            </w:r>
          </w:p>
        </w:tc>
      </w:tr>
      <w:tr w:rsidR="00EF0A13" w:rsidRPr="00D55FAB" w14:paraId="7702CAFA" w14:textId="77777777" w:rsidTr="004D60F8">
        <w:tc>
          <w:tcPr>
            <w:tcW w:w="0" w:type="auto"/>
          </w:tcPr>
          <w:p w14:paraId="7F4A73B8"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Deciduous</w:t>
            </w:r>
          </w:p>
        </w:tc>
        <w:tc>
          <w:tcPr>
            <w:tcW w:w="0" w:type="auto"/>
          </w:tcPr>
          <w:p w14:paraId="664658D8"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523</w:t>
            </w:r>
          </w:p>
        </w:tc>
        <w:tc>
          <w:tcPr>
            <w:tcW w:w="0" w:type="auto"/>
          </w:tcPr>
          <w:p w14:paraId="33CB522D"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442</w:t>
            </w:r>
          </w:p>
        </w:tc>
        <w:tc>
          <w:tcPr>
            <w:tcW w:w="0" w:type="auto"/>
          </w:tcPr>
          <w:p w14:paraId="1A1C5DEB"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345</w:t>
            </w:r>
          </w:p>
        </w:tc>
        <w:tc>
          <w:tcPr>
            <w:tcW w:w="0" w:type="auto"/>
          </w:tcPr>
          <w:p w14:paraId="4D4BC47B"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241</w:t>
            </w:r>
          </w:p>
        </w:tc>
        <w:tc>
          <w:tcPr>
            <w:tcW w:w="0" w:type="auto"/>
          </w:tcPr>
          <w:p w14:paraId="6EBD80CA"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152</w:t>
            </w:r>
          </w:p>
        </w:tc>
      </w:tr>
      <w:tr w:rsidR="00EF0A13" w:rsidRPr="00D55FAB" w14:paraId="2907523D" w14:textId="77777777" w:rsidTr="004D60F8">
        <w:tc>
          <w:tcPr>
            <w:tcW w:w="0" w:type="auto"/>
          </w:tcPr>
          <w:p w14:paraId="4131D3E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Carpinus</w:t>
            </w:r>
          </w:p>
        </w:tc>
        <w:tc>
          <w:tcPr>
            <w:tcW w:w="0" w:type="auto"/>
          </w:tcPr>
          <w:p w14:paraId="2F9C15B9"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428</w:t>
            </w:r>
          </w:p>
        </w:tc>
        <w:tc>
          <w:tcPr>
            <w:tcW w:w="0" w:type="auto"/>
          </w:tcPr>
          <w:p w14:paraId="11FA1FE5"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392</w:t>
            </w:r>
          </w:p>
        </w:tc>
        <w:tc>
          <w:tcPr>
            <w:tcW w:w="0" w:type="auto"/>
          </w:tcPr>
          <w:p w14:paraId="43A644D2"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336</w:t>
            </w:r>
          </w:p>
        </w:tc>
        <w:tc>
          <w:tcPr>
            <w:tcW w:w="0" w:type="auto"/>
          </w:tcPr>
          <w:p w14:paraId="5CAB01B5"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211</w:t>
            </w:r>
          </w:p>
        </w:tc>
        <w:tc>
          <w:tcPr>
            <w:tcW w:w="0" w:type="auto"/>
          </w:tcPr>
          <w:p w14:paraId="276D594B"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140</w:t>
            </w:r>
          </w:p>
        </w:tc>
      </w:tr>
      <w:tr w:rsidR="00EF0A13" w:rsidRPr="00D55FAB" w14:paraId="6E131AF1" w14:textId="77777777" w:rsidTr="004D60F8">
        <w:tc>
          <w:tcPr>
            <w:tcW w:w="0" w:type="auto"/>
          </w:tcPr>
          <w:p w14:paraId="18EAA649"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Conifer</w:t>
            </w:r>
          </w:p>
        </w:tc>
        <w:tc>
          <w:tcPr>
            <w:tcW w:w="0" w:type="auto"/>
          </w:tcPr>
          <w:p w14:paraId="7CF9F3DD"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374</w:t>
            </w:r>
          </w:p>
        </w:tc>
        <w:tc>
          <w:tcPr>
            <w:tcW w:w="0" w:type="auto"/>
          </w:tcPr>
          <w:p w14:paraId="1C0D7214"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334</w:t>
            </w:r>
          </w:p>
        </w:tc>
        <w:tc>
          <w:tcPr>
            <w:tcW w:w="0" w:type="auto"/>
          </w:tcPr>
          <w:p w14:paraId="4ADE286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271</w:t>
            </w:r>
          </w:p>
        </w:tc>
        <w:tc>
          <w:tcPr>
            <w:tcW w:w="0" w:type="auto"/>
          </w:tcPr>
          <w:p w14:paraId="47C1E285"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198</w:t>
            </w:r>
          </w:p>
        </w:tc>
        <w:tc>
          <w:tcPr>
            <w:tcW w:w="0" w:type="auto"/>
          </w:tcPr>
          <w:p w14:paraId="741BEAF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160</w:t>
            </w:r>
          </w:p>
        </w:tc>
      </w:tr>
      <w:tr w:rsidR="00EF0A13" w:rsidRPr="00D55FAB" w14:paraId="7C26DD00" w14:textId="77777777" w:rsidTr="004D60F8">
        <w:tc>
          <w:tcPr>
            <w:tcW w:w="0" w:type="auto"/>
          </w:tcPr>
          <w:p w14:paraId="6DFD7560"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Fagus</w:t>
            </w:r>
          </w:p>
        </w:tc>
        <w:tc>
          <w:tcPr>
            <w:tcW w:w="0" w:type="auto"/>
          </w:tcPr>
          <w:p w14:paraId="2F8CDE62"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520</w:t>
            </w:r>
          </w:p>
        </w:tc>
        <w:tc>
          <w:tcPr>
            <w:tcW w:w="0" w:type="auto"/>
          </w:tcPr>
          <w:p w14:paraId="4A3C2ED7"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379</w:t>
            </w:r>
          </w:p>
        </w:tc>
        <w:tc>
          <w:tcPr>
            <w:tcW w:w="0" w:type="auto"/>
          </w:tcPr>
          <w:p w14:paraId="01DDD4C3"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261</w:t>
            </w:r>
          </w:p>
        </w:tc>
        <w:tc>
          <w:tcPr>
            <w:tcW w:w="0" w:type="auto"/>
          </w:tcPr>
          <w:p w14:paraId="3637EA79"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229</w:t>
            </w:r>
          </w:p>
        </w:tc>
        <w:tc>
          <w:tcPr>
            <w:tcW w:w="0" w:type="auto"/>
          </w:tcPr>
          <w:p w14:paraId="1A2AEF31"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220</w:t>
            </w:r>
          </w:p>
        </w:tc>
      </w:tr>
      <w:tr w:rsidR="00EF0A13" w:rsidRPr="00D55FAB" w14:paraId="5D34F0D0" w14:textId="77777777" w:rsidTr="004D60F8">
        <w:tc>
          <w:tcPr>
            <w:tcW w:w="0" w:type="auto"/>
          </w:tcPr>
          <w:p w14:paraId="79F93DA9"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Fraxinus</w:t>
            </w:r>
          </w:p>
        </w:tc>
        <w:tc>
          <w:tcPr>
            <w:tcW w:w="0" w:type="auto"/>
          </w:tcPr>
          <w:p w14:paraId="69BF758D"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452</w:t>
            </w:r>
          </w:p>
        </w:tc>
        <w:tc>
          <w:tcPr>
            <w:tcW w:w="0" w:type="auto"/>
          </w:tcPr>
          <w:p w14:paraId="710D977C"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403</w:t>
            </w:r>
          </w:p>
        </w:tc>
        <w:tc>
          <w:tcPr>
            <w:tcW w:w="0" w:type="auto"/>
          </w:tcPr>
          <w:p w14:paraId="31795427"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392</w:t>
            </w:r>
          </w:p>
        </w:tc>
        <w:tc>
          <w:tcPr>
            <w:tcW w:w="0" w:type="auto"/>
          </w:tcPr>
          <w:p w14:paraId="169E296C"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227</w:t>
            </w:r>
          </w:p>
        </w:tc>
        <w:tc>
          <w:tcPr>
            <w:tcW w:w="0" w:type="auto"/>
          </w:tcPr>
          <w:p w14:paraId="4CA7D220"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151</w:t>
            </w:r>
          </w:p>
        </w:tc>
      </w:tr>
      <w:tr w:rsidR="00EF0A13" w:rsidRPr="00D55FAB" w14:paraId="66C7B3C8" w14:textId="77777777" w:rsidTr="004D60F8">
        <w:tc>
          <w:tcPr>
            <w:tcW w:w="0" w:type="auto"/>
          </w:tcPr>
          <w:p w14:paraId="53073793"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Picea</w:t>
            </w:r>
          </w:p>
        </w:tc>
        <w:tc>
          <w:tcPr>
            <w:tcW w:w="0" w:type="auto"/>
          </w:tcPr>
          <w:p w14:paraId="56EBDE57"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381</w:t>
            </w:r>
          </w:p>
        </w:tc>
        <w:tc>
          <w:tcPr>
            <w:tcW w:w="0" w:type="auto"/>
          </w:tcPr>
          <w:p w14:paraId="31BD8493"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340</w:t>
            </w:r>
          </w:p>
        </w:tc>
        <w:tc>
          <w:tcPr>
            <w:tcW w:w="0" w:type="auto"/>
          </w:tcPr>
          <w:p w14:paraId="4E93D47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270</w:t>
            </w:r>
          </w:p>
        </w:tc>
        <w:tc>
          <w:tcPr>
            <w:tcW w:w="0" w:type="auto"/>
          </w:tcPr>
          <w:p w14:paraId="184BBE7E"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190</w:t>
            </w:r>
          </w:p>
        </w:tc>
        <w:tc>
          <w:tcPr>
            <w:tcW w:w="0" w:type="auto"/>
          </w:tcPr>
          <w:p w14:paraId="2CD79DA6"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157</w:t>
            </w:r>
          </w:p>
        </w:tc>
      </w:tr>
      <w:tr w:rsidR="00EF0A13" w:rsidRPr="00D55FAB" w14:paraId="517E2134" w14:textId="77777777" w:rsidTr="004D60F8">
        <w:tc>
          <w:tcPr>
            <w:tcW w:w="0" w:type="auto"/>
          </w:tcPr>
          <w:p w14:paraId="1648EEA1"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Pinus</w:t>
            </w:r>
          </w:p>
        </w:tc>
        <w:tc>
          <w:tcPr>
            <w:tcW w:w="0" w:type="auto"/>
          </w:tcPr>
          <w:p w14:paraId="06F74A58"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379</w:t>
            </w:r>
          </w:p>
        </w:tc>
        <w:tc>
          <w:tcPr>
            <w:tcW w:w="0" w:type="auto"/>
          </w:tcPr>
          <w:p w14:paraId="57EBB9C1"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334</w:t>
            </w:r>
          </w:p>
        </w:tc>
        <w:tc>
          <w:tcPr>
            <w:tcW w:w="0" w:type="auto"/>
          </w:tcPr>
          <w:p w14:paraId="09420C44"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277</w:t>
            </w:r>
          </w:p>
        </w:tc>
        <w:tc>
          <w:tcPr>
            <w:tcW w:w="0" w:type="auto"/>
          </w:tcPr>
          <w:p w14:paraId="45DD3670"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214</w:t>
            </w:r>
          </w:p>
        </w:tc>
        <w:tc>
          <w:tcPr>
            <w:tcW w:w="0" w:type="auto"/>
          </w:tcPr>
          <w:p w14:paraId="527E4732"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165</w:t>
            </w:r>
          </w:p>
        </w:tc>
      </w:tr>
      <w:tr w:rsidR="00EF0A13" w:rsidRPr="00D55FAB" w14:paraId="1CBEFCB4" w14:textId="77777777" w:rsidTr="004D60F8">
        <w:tc>
          <w:tcPr>
            <w:tcW w:w="0" w:type="auto"/>
          </w:tcPr>
          <w:p w14:paraId="6ECCB223"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Quercus</w:t>
            </w:r>
          </w:p>
        </w:tc>
        <w:tc>
          <w:tcPr>
            <w:tcW w:w="0" w:type="auto"/>
          </w:tcPr>
          <w:p w14:paraId="3DDAD849"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614</w:t>
            </w:r>
          </w:p>
        </w:tc>
        <w:tc>
          <w:tcPr>
            <w:tcW w:w="0" w:type="auto"/>
          </w:tcPr>
          <w:p w14:paraId="0FA82DD5"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518</w:t>
            </w:r>
          </w:p>
        </w:tc>
        <w:tc>
          <w:tcPr>
            <w:tcW w:w="0" w:type="auto"/>
          </w:tcPr>
          <w:p w14:paraId="41F2F887"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397</w:t>
            </w:r>
          </w:p>
        </w:tc>
        <w:tc>
          <w:tcPr>
            <w:tcW w:w="0" w:type="auto"/>
          </w:tcPr>
          <w:p w14:paraId="21353D12"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300</w:t>
            </w:r>
          </w:p>
        </w:tc>
        <w:tc>
          <w:tcPr>
            <w:tcW w:w="0" w:type="auto"/>
          </w:tcPr>
          <w:p w14:paraId="12748FD8" w14:textId="77777777" w:rsidR="00EF0A13" w:rsidRPr="00D55FAB" w:rsidRDefault="00EF0A13"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195</w:t>
            </w:r>
          </w:p>
        </w:tc>
      </w:tr>
    </w:tbl>
    <w:p w14:paraId="65F157CF" w14:textId="77777777" w:rsidR="00EF0A13" w:rsidRDefault="00EF0A13" w:rsidP="00EF0A13">
      <w:pPr>
        <w:jc w:val="both"/>
      </w:pPr>
    </w:p>
    <w:p w14:paraId="76C298E8" w14:textId="77777777" w:rsidR="00EF0A13" w:rsidRDefault="00EF0A13" w:rsidP="00EF0A13">
      <w:pPr>
        <w:jc w:val="both"/>
      </w:pPr>
    </w:p>
    <w:p w14:paraId="2270EE06" w14:textId="77777777" w:rsidR="00EF0A13" w:rsidRPr="00D55FAB" w:rsidRDefault="00EF0A13" w:rsidP="00EF0A13">
      <w:pPr>
        <w:jc w:val="both"/>
      </w:pPr>
      <w:r w:rsidRPr="00D55FAB">
        <w:t xml:space="preserve">After I created the decay classes based on experimental data in </w:t>
      </w:r>
      <m:oMath>
        <m:r>
          <m:rPr>
            <m:nor/>
          </m:rPr>
          <w:rPr>
            <w:rFonts w:ascii="Times New Roman" w:hAnsi="Times New Roman" w:cs="Times New Roman"/>
          </w:rPr>
          <m:t>kg</m:t>
        </m:r>
        <m:r>
          <m:rPr>
            <m:sty m:val="p"/>
          </m:rPr>
          <w:rPr>
            <w:rFonts w:ascii="Cambria Math" w:hAnsi="Cambria Math" w:cs="Times New Roman"/>
          </w:rPr>
          <m:t>⋅</m:t>
        </m:r>
        <m:sSup>
          <m:sSupPr>
            <m:ctrlPr>
              <w:rPr>
                <w:rFonts w:ascii="Cambria Math" w:hAnsi="Cambria Math" w:cs="Times New Roman"/>
              </w:rPr>
            </m:ctrlPr>
          </m:sSupPr>
          <m:e>
            <m:r>
              <m:rPr>
                <m:nor/>
              </m:rPr>
              <w:rPr>
                <w:rFonts w:ascii="Times New Roman" w:hAnsi="Times New Roman" w:cs="Times New Roman"/>
              </w:rPr>
              <m:t>m</m:t>
            </m:r>
          </m:e>
          <m:sup>
            <m:r>
              <m:rPr>
                <m:sty m:val="p"/>
              </m:rPr>
              <w:rPr>
                <w:rFonts w:ascii="Cambria Math" w:hAnsi="Cambria Math" w:cs="Times New Roman"/>
              </w:rPr>
              <m:t>-</m:t>
            </m:r>
            <m:r>
              <w:rPr>
                <w:rFonts w:ascii="Cambria Math" w:hAnsi="Cambria Math" w:cs="Times New Roman"/>
              </w:rPr>
              <m:t>3</m:t>
            </m:r>
          </m:sup>
        </m:sSup>
      </m:oMath>
      <w:r>
        <w:rPr>
          <w:rFonts w:ascii="Times New Roman" w:hAnsi="Times New Roman" w:cs="Times New Roman"/>
        </w:rPr>
        <w:t xml:space="preserve">, we needed to merge consistently our metadata with the plot tree table including all single tree measures and parameters in every plot and deadwood structure sampling of the plots. Here we assigned at every tree species we have along the 98 plots a corresponding Genus or forest functional type.   </w:t>
      </w:r>
    </w:p>
    <w:p w14:paraId="61682BD4" w14:textId="77777777" w:rsidR="00EF0A13" w:rsidRDefault="00EF0A13" w:rsidP="00EF0A13">
      <w:pPr>
        <w:jc w:val="both"/>
      </w:pPr>
      <w:r w:rsidRPr="00C21537">
        <w:t xml:space="preserve">Look at the species proportion per plot to assign a classification to </w:t>
      </w:r>
      <w:proofErr w:type="gramStart"/>
      <w:r w:rsidRPr="00C21537">
        <w:t>those piece of wood</w:t>
      </w:r>
      <w:proofErr w:type="gramEnd"/>
      <w:r w:rsidRPr="00C21537">
        <w:t xml:space="preserve"> not classified. Here I decided to assign it </w:t>
      </w:r>
      <w:proofErr w:type="gramStart"/>
      <w:r w:rsidRPr="00C21537">
        <w:t>at</w:t>
      </w:r>
      <w:proofErr w:type="gramEnd"/>
      <w:r w:rsidRPr="00C21537">
        <w:t xml:space="preserve"> the </w:t>
      </w:r>
      <w:proofErr w:type="gramStart"/>
      <w:r w:rsidRPr="00C21537">
        <w:t>plot dominant species</w:t>
      </w:r>
      <w:proofErr w:type="gramEnd"/>
    </w:p>
    <w:p w14:paraId="74664113" w14:textId="77777777" w:rsidR="00EF0A13" w:rsidRDefault="00EF0A13" w:rsidP="00EF0A13">
      <w:pPr>
        <w:jc w:val="both"/>
      </w:pPr>
      <w:r>
        <w:t>-</w:t>
      </w:r>
    </w:p>
    <w:p w14:paraId="11DB66AC" w14:textId="77777777" w:rsidR="00EF0A13" w:rsidRDefault="00EF0A13" w:rsidP="00EF0A13">
      <w:pPr>
        <w:jc w:val="both"/>
      </w:pPr>
      <w:r>
        <w:t>-</w:t>
      </w:r>
    </w:p>
    <w:p w14:paraId="28FE9633" w14:textId="77777777" w:rsidR="00EF0A13" w:rsidRDefault="00EF0A13" w:rsidP="00EF0A13">
      <w:pPr>
        <w:jc w:val="both"/>
      </w:pPr>
      <w:r>
        <w:t>-</w:t>
      </w:r>
    </w:p>
    <w:p w14:paraId="49D4E178" w14:textId="77777777" w:rsidR="00EF0A13" w:rsidRDefault="00EF0A13" w:rsidP="00EF0A13">
      <w:pPr>
        <w:jc w:val="both"/>
      </w:pPr>
      <w:r>
        <w:t>-</w:t>
      </w:r>
    </w:p>
    <w:p w14:paraId="06DA8241" w14:textId="77777777" w:rsidR="00EF0A13" w:rsidRDefault="00EF0A13" w:rsidP="00EF0A13">
      <w:pPr>
        <w:jc w:val="both"/>
      </w:pPr>
      <w:r>
        <w:t>-</w:t>
      </w:r>
    </w:p>
    <w:p w14:paraId="07C399EF" w14:textId="77777777" w:rsidR="00EF0A13" w:rsidRDefault="00EF0A13" w:rsidP="00EF0A13">
      <w:pPr>
        <w:jc w:val="both"/>
      </w:pPr>
      <w:r>
        <w:t>-</w:t>
      </w:r>
    </w:p>
    <w:p w14:paraId="75F520A4" w14:textId="77777777" w:rsidR="00EF0A13" w:rsidRDefault="00EF0A13" w:rsidP="00EF0A13">
      <w:pPr>
        <w:jc w:val="both"/>
      </w:pPr>
    </w:p>
    <w:p w14:paraId="57F223F8" w14:textId="77777777" w:rsidR="00EF0A13" w:rsidRDefault="00EF0A13" w:rsidP="00EF0A13">
      <w:pPr>
        <w:jc w:val="both"/>
      </w:pPr>
    </w:p>
    <w:p w14:paraId="7F5ACC9D" w14:textId="77777777" w:rsidR="00EF0A13" w:rsidRDefault="00EF0A13" w:rsidP="00EF0A13">
      <w:pPr>
        <w:jc w:val="both"/>
      </w:pPr>
    </w:p>
    <w:p w14:paraId="596895F9" w14:textId="77777777" w:rsidR="00EF0A13" w:rsidRDefault="00EF0A13" w:rsidP="00EF0A13">
      <w:pPr>
        <w:jc w:val="both"/>
      </w:pPr>
    </w:p>
    <w:p w14:paraId="1C4E63E0" w14:textId="77777777" w:rsidR="00EF0A13" w:rsidRPr="008D2766" w:rsidRDefault="00EF0A13" w:rsidP="00EF0A13">
      <w:pPr>
        <w:jc w:val="both"/>
      </w:pPr>
      <w:r w:rsidRPr="008D2766">
        <w:rPr>
          <w:highlight w:val="magenta"/>
        </w:rPr>
        <w:t>Tree species</w:t>
      </w:r>
      <w:r w:rsidRPr="000432BC">
        <w:t xml:space="preserve"> not into the table coming from the laboratory analysis (https://doi.org/10.1016/j.foreco.2023.121431) on the deadwood </w:t>
      </w:r>
      <w:proofErr w:type="spellStart"/>
      <w:r w:rsidRPr="000432BC">
        <w:t>deacy</w:t>
      </w:r>
      <w:proofErr w:type="spellEnd"/>
      <w:r w:rsidRPr="000432BC">
        <w:t xml:space="preserve"> stages of every analyzed species are categorized as deciduous or coniferous unless the Genus was shared as in Alnus, Quercus, Pinus, Abies and Fraxinus see line 215 tree species conversion</w:t>
      </w:r>
      <w:r>
        <w:t xml:space="preserve"> </w:t>
      </w:r>
      <w:hyperlink r:id="rId12" w:history="1">
        <w:r w:rsidRPr="00361FD0">
          <w:rPr>
            <w:rStyle w:val="Hyperlink"/>
          </w:rPr>
          <w:t>https://github.com/baldomarco/Bottoms-Up/tree/main/STSM/Carbon</w:t>
        </w:r>
      </w:hyperlink>
      <w:r>
        <w:t xml:space="preserve"> .</w:t>
      </w:r>
    </w:p>
    <w:p w14:paraId="065A49DE" w14:textId="77777777" w:rsidR="00EF0A13" w:rsidRDefault="00EF0A13" w:rsidP="00EF0A13"/>
    <w:p w14:paraId="50D073AF" w14:textId="77777777" w:rsidR="00EF0A13" w:rsidRPr="000432BC" w:rsidRDefault="00EF0A13" w:rsidP="00EF0A13">
      <w:r w:rsidRPr="00184A1F">
        <w:rPr>
          <w:highlight w:val="green"/>
        </w:rPr>
        <w:t>Input into iLand project file</w:t>
      </w:r>
    </w:p>
    <w:p w14:paraId="67F2D697" w14:textId="77777777" w:rsidR="00EF0A13" w:rsidRDefault="00EF0A13" w:rsidP="00EF0A13">
      <w:pPr>
        <w:spacing w:before="120" w:after="120"/>
        <w:jc w:val="both"/>
        <w:rPr>
          <w:rFonts w:ascii="Times New Roman" w:hAnsi="Times New Roman" w:cs="Times New Roman"/>
        </w:rPr>
      </w:pPr>
      <w:r>
        <w:rPr>
          <w:rFonts w:ascii="Times New Roman" w:hAnsi="Times New Roman" w:cs="Times New Roman"/>
        </w:rPr>
        <w:t>The main iLand project file input derived from the fieldwork data are:</w:t>
      </w:r>
    </w:p>
    <w:p w14:paraId="6A1F4CC6" w14:textId="77777777" w:rsidR="00EF0A13" w:rsidRDefault="00EF0A13" w:rsidP="00EF0A13">
      <w:pPr>
        <w:spacing w:before="120" w:after="120"/>
        <w:jc w:val="both"/>
        <w:rPr>
          <w:rFonts w:ascii="Times New Roman" w:hAnsi="Times New Roman" w:cs="Times New Roman"/>
        </w:rPr>
      </w:pPr>
      <w:proofErr w:type="spellStart"/>
      <w:r w:rsidRPr="00A27581">
        <w:rPr>
          <w:rFonts w:ascii="Times New Roman" w:hAnsi="Times New Roman" w:cs="Times New Roman"/>
          <w:i/>
          <w:iCs/>
        </w:rPr>
        <w:t>youngRefractoryC</w:t>
      </w:r>
      <w:proofErr w:type="spellEnd"/>
      <w:r>
        <w:rPr>
          <w:rFonts w:ascii="Times New Roman" w:hAnsi="Times New Roman" w:cs="Times New Roman"/>
        </w:rPr>
        <w:t xml:space="preserve">: </w:t>
      </w:r>
      <w:r w:rsidRPr="00A27581">
        <w:rPr>
          <w:rFonts w:ascii="Times New Roman" w:hAnsi="Times New Roman" w:cs="Times New Roman"/>
        </w:rPr>
        <w:t xml:space="preserve">carbon content of </w:t>
      </w:r>
      <w:proofErr w:type="spellStart"/>
      <w:r w:rsidRPr="00A27581">
        <w:rPr>
          <w:rFonts w:ascii="Times New Roman" w:hAnsi="Times New Roman" w:cs="Times New Roman"/>
        </w:rPr>
        <w:t>yrC</w:t>
      </w:r>
      <w:proofErr w:type="spellEnd"/>
      <w:r w:rsidRPr="00A27581">
        <w:rPr>
          <w:rFonts w:ascii="Times New Roman" w:hAnsi="Times New Roman" w:cs="Times New Roman"/>
        </w:rPr>
        <w:t xml:space="preserve"> (woody) aboveground carbon pool (kg/ha) we have real values logging residuals, branches, logs</w:t>
      </w:r>
      <w:r>
        <w:rPr>
          <w:rFonts w:ascii="Times New Roman" w:hAnsi="Times New Roman" w:cs="Times New Roman"/>
        </w:rPr>
        <w:t>.</w:t>
      </w:r>
    </w:p>
    <w:p w14:paraId="4DD133AD" w14:textId="77777777" w:rsidR="00EF0A13" w:rsidRPr="00A27581" w:rsidRDefault="00EF0A13" w:rsidP="00EF0A13">
      <w:pPr>
        <w:spacing w:before="120" w:after="120"/>
        <w:jc w:val="both"/>
        <w:rPr>
          <w:rFonts w:ascii="Times New Roman" w:hAnsi="Times New Roman" w:cs="Times New Roman"/>
          <w:b/>
          <w:bCs/>
        </w:rPr>
      </w:pPr>
      <w:proofErr w:type="spellStart"/>
      <w:r w:rsidRPr="00A27581">
        <w:rPr>
          <w:rFonts w:ascii="Times New Roman" w:hAnsi="Times New Roman" w:cs="Times New Roman"/>
          <w:i/>
          <w:iCs/>
        </w:rPr>
        <w:t>swdC</w:t>
      </w:r>
      <w:proofErr w:type="spellEnd"/>
      <w:r>
        <w:rPr>
          <w:rFonts w:ascii="Times New Roman" w:hAnsi="Times New Roman" w:cs="Times New Roman"/>
          <w:b/>
          <w:bCs/>
        </w:rPr>
        <w:t xml:space="preserve">: </w:t>
      </w:r>
      <w:r w:rsidRPr="00A27581">
        <w:rPr>
          <w:rFonts w:ascii="Times New Roman" w:hAnsi="Times New Roman" w:cs="Times New Roman"/>
        </w:rPr>
        <w:t>initial carbon content in (standing) snags (kg/ha) we have standing dead wood and stumps or snags, also this value it is x4</w:t>
      </w:r>
    </w:p>
    <w:p w14:paraId="6DB85554" w14:textId="77777777" w:rsidR="00EF0A13" w:rsidRDefault="00EF0A13" w:rsidP="00EF0A13">
      <w:pPr>
        <w:spacing w:before="120" w:after="120"/>
        <w:jc w:val="both"/>
        <w:rPr>
          <w:rFonts w:ascii="Times New Roman" w:hAnsi="Times New Roman" w:cs="Times New Roman"/>
        </w:rPr>
      </w:pPr>
      <w:proofErr w:type="spellStart"/>
      <w:r w:rsidRPr="00A27581">
        <w:rPr>
          <w:rFonts w:ascii="Times New Roman" w:hAnsi="Times New Roman" w:cs="Times New Roman"/>
          <w:i/>
          <w:iCs/>
        </w:rPr>
        <w:t>swdCount</w:t>
      </w:r>
      <w:proofErr w:type="spellEnd"/>
      <w:r w:rsidRPr="00A27581">
        <w:rPr>
          <w:rFonts w:ascii="Times New Roman" w:hAnsi="Times New Roman" w:cs="Times New Roman"/>
          <w:i/>
          <w:iCs/>
        </w:rPr>
        <w:t>:</w:t>
      </w:r>
      <w:r>
        <w:rPr>
          <w:rFonts w:ascii="Times New Roman" w:hAnsi="Times New Roman" w:cs="Times New Roman"/>
        </w:rPr>
        <w:t xml:space="preserve"> </w:t>
      </w:r>
      <w:r w:rsidRPr="00A27581">
        <w:rPr>
          <w:rFonts w:ascii="Times New Roman" w:hAnsi="Times New Roman" w:cs="Times New Roman"/>
        </w:rPr>
        <w:t xml:space="preserve">number of snags we </w:t>
      </w:r>
      <w:proofErr w:type="gramStart"/>
      <w:r w:rsidRPr="00A27581">
        <w:rPr>
          <w:rFonts w:ascii="Times New Roman" w:hAnsi="Times New Roman" w:cs="Times New Roman"/>
        </w:rPr>
        <w:t>have</w:t>
      </w:r>
      <w:proofErr w:type="gramEnd"/>
      <w:r w:rsidRPr="00A27581">
        <w:rPr>
          <w:rFonts w:ascii="Times New Roman" w:hAnsi="Times New Roman" w:cs="Times New Roman"/>
        </w:rPr>
        <w:t xml:space="preserve"> and I put also </w:t>
      </w:r>
      <w:proofErr w:type="gramStart"/>
      <w:r w:rsidRPr="00A27581">
        <w:rPr>
          <w:rFonts w:ascii="Times New Roman" w:hAnsi="Times New Roman" w:cs="Times New Roman"/>
        </w:rPr>
        <w:t>the stumps</w:t>
      </w:r>
      <w:proofErr w:type="gramEnd"/>
      <w:r w:rsidRPr="00A27581">
        <w:rPr>
          <w:rFonts w:ascii="Times New Roman" w:hAnsi="Times New Roman" w:cs="Times New Roman"/>
        </w:rPr>
        <w:t xml:space="preserve"> per ha. In the case of BDV plot exp from CZ data </w:t>
      </w:r>
      <w:proofErr w:type="spellStart"/>
      <w:r w:rsidRPr="00A27581">
        <w:rPr>
          <w:rFonts w:ascii="Times New Roman" w:hAnsi="Times New Roman" w:cs="Times New Roman"/>
        </w:rPr>
        <w:t>BottomsUp</w:t>
      </w:r>
      <w:proofErr w:type="spellEnd"/>
      <w:r w:rsidRPr="00A27581">
        <w:rPr>
          <w:rFonts w:ascii="Times New Roman" w:hAnsi="Times New Roman" w:cs="Times New Roman"/>
        </w:rPr>
        <w:t xml:space="preserve"> needs to be x4 because normalized per ha we have 1/4ha plots</w:t>
      </w:r>
    </w:p>
    <w:p w14:paraId="53AE5D6B" w14:textId="77777777" w:rsidR="00EF0A13" w:rsidRDefault="00EF0A13" w:rsidP="00EF0A13">
      <w:pPr>
        <w:spacing w:before="120" w:after="120"/>
        <w:jc w:val="both"/>
        <w:rPr>
          <w:rFonts w:ascii="Times New Roman" w:hAnsi="Times New Roman" w:cs="Times New Roman"/>
        </w:rPr>
      </w:pPr>
      <w:proofErr w:type="spellStart"/>
      <w:r w:rsidRPr="00A27581">
        <w:rPr>
          <w:rFonts w:ascii="Times New Roman" w:hAnsi="Times New Roman" w:cs="Times New Roman"/>
          <w:i/>
          <w:iCs/>
        </w:rPr>
        <w:t>otherC</w:t>
      </w:r>
      <w:proofErr w:type="spellEnd"/>
      <w:r>
        <w:rPr>
          <w:rFonts w:ascii="Times New Roman" w:hAnsi="Times New Roman" w:cs="Times New Roman"/>
          <w:i/>
          <w:iCs/>
        </w:rPr>
        <w:t xml:space="preserve">: </w:t>
      </w:r>
      <w:r w:rsidRPr="00A27581">
        <w:rPr>
          <w:rFonts w:ascii="Times New Roman" w:hAnsi="Times New Roman" w:cs="Times New Roman"/>
        </w:rPr>
        <w:t xml:space="preserve">initial carbon content in the pools for other wood (i.e. branches and coarse roots). (kg/ha.). This content is split up into </w:t>
      </w:r>
      <w:proofErr w:type="gramStart"/>
      <w:r w:rsidRPr="00A27581">
        <w:rPr>
          <w:rFonts w:ascii="Times New Roman" w:hAnsi="Times New Roman" w:cs="Times New Roman"/>
        </w:rPr>
        <w:t>the five</w:t>
      </w:r>
      <w:proofErr w:type="gramEnd"/>
      <w:r w:rsidRPr="00A27581">
        <w:rPr>
          <w:rFonts w:ascii="Times New Roman" w:hAnsi="Times New Roman" w:cs="Times New Roman"/>
        </w:rPr>
        <w:t xml:space="preserve"> parts. </w:t>
      </w:r>
      <w:proofErr w:type="spellStart"/>
      <w:r w:rsidRPr="00A27581">
        <w:rPr>
          <w:rFonts w:ascii="Times New Roman" w:hAnsi="Times New Roman" w:cs="Times New Roman"/>
        </w:rPr>
        <w:t>swdC</w:t>
      </w:r>
      <w:proofErr w:type="spellEnd"/>
      <w:r w:rsidRPr="00A27581">
        <w:rPr>
          <w:rFonts w:ascii="Times New Roman" w:hAnsi="Times New Roman" w:cs="Times New Roman"/>
        </w:rPr>
        <w:t xml:space="preserve"> x </w:t>
      </w:r>
      <w:proofErr w:type="spellStart"/>
      <w:r w:rsidRPr="00A27581">
        <w:rPr>
          <w:rFonts w:ascii="Times New Roman" w:hAnsi="Times New Roman" w:cs="Times New Roman"/>
        </w:rPr>
        <w:t>otherC</w:t>
      </w:r>
      <w:proofErr w:type="spellEnd"/>
      <w:r w:rsidRPr="00A27581">
        <w:rPr>
          <w:rFonts w:ascii="Times New Roman" w:hAnsi="Times New Roman" w:cs="Times New Roman"/>
        </w:rPr>
        <w:t xml:space="preserve"> fraction for the </w:t>
      </w:r>
      <w:proofErr w:type="spellStart"/>
      <w:r w:rsidRPr="00A27581">
        <w:rPr>
          <w:rFonts w:ascii="Times New Roman" w:hAnsi="Times New Roman" w:cs="Times New Roman"/>
        </w:rPr>
        <w:t>otherC</w:t>
      </w:r>
      <w:proofErr w:type="spellEnd"/>
      <w:r w:rsidRPr="00A27581">
        <w:rPr>
          <w:rFonts w:ascii="Times New Roman" w:hAnsi="Times New Roman" w:cs="Times New Roman"/>
        </w:rPr>
        <w:t xml:space="preserve"> pool. need to add 30 (branches) or 60% (branches + course roots) more</w:t>
      </w:r>
    </w:p>
    <w:p w14:paraId="6342ACE8" w14:textId="77777777" w:rsidR="00EF0A13" w:rsidRDefault="00EF0A13" w:rsidP="00EF0A13">
      <w:pPr>
        <w:spacing w:before="120" w:after="120"/>
        <w:jc w:val="both"/>
        <w:rPr>
          <w:rFonts w:ascii="Times New Roman" w:hAnsi="Times New Roman" w:cs="Times New Roman"/>
        </w:rPr>
      </w:pPr>
    </w:p>
    <w:p w14:paraId="0FF034B9" w14:textId="77777777" w:rsidR="00EF0A13" w:rsidRDefault="00EF0A13" w:rsidP="00EF0A13">
      <w:pPr>
        <w:spacing w:before="120" w:after="120"/>
        <w:jc w:val="both"/>
        <w:rPr>
          <w:rFonts w:ascii="Times New Roman" w:hAnsi="Times New Roman" w:cs="Times New Roman"/>
        </w:rPr>
      </w:pPr>
      <w:r>
        <w:rPr>
          <w:rFonts w:ascii="Times New Roman" w:hAnsi="Times New Roman" w:cs="Times New Roman"/>
        </w:rPr>
        <w:t xml:space="preserve">The main outputs we need for the Bayesian analysis related to deadwood </w:t>
      </w:r>
      <w:proofErr w:type="gramStart"/>
      <w:r>
        <w:rPr>
          <w:rFonts w:ascii="Times New Roman" w:hAnsi="Times New Roman" w:cs="Times New Roman"/>
        </w:rPr>
        <w:t>and also</w:t>
      </w:r>
      <w:proofErr w:type="gramEnd"/>
      <w:r>
        <w:rPr>
          <w:rFonts w:ascii="Times New Roman" w:hAnsi="Times New Roman" w:cs="Times New Roman"/>
        </w:rPr>
        <w:t xml:space="preserve"> used indirectly for the deadwood pools </w:t>
      </w:r>
      <w:proofErr w:type="spellStart"/>
      <w:r>
        <w:rPr>
          <w:rFonts w:ascii="Times New Roman" w:hAnsi="Times New Roman" w:cs="Times New Roman"/>
        </w:rPr>
        <w:t>bdv</w:t>
      </w:r>
      <w:proofErr w:type="spellEnd"/>
      <w:r>
        <w:rPr>
          <w:rFonts w:ascii="Times New Roman" w:hAnsi="Times New Roman" w:cs="Times New Roman"/>
        </w:rPr>
        <w:t xml:space="preserve"> prediction column and for initialization of deadwood pools </w:t>
      </w:r>
      <w:proofErr w:type="gramStart"/>
      <w:r>
        <w:rPr>
          <w:rFonts w:ascii="Times New Roman" w:hAnsi="Times New Roman" w:cs="Times New Roman"/>
        </w:rPr>
        <w:t>due</w:t>
      </w:r>
      <w:proofErr w:type="gramEnd"/>
      <w:r>
        <w:rPr>
          <w:rFonts w:ascii="Times New Roman" w:hAnsi="Times New Roman" w:cs="Times New Roman"/>
        </w:rPr>
        <w:t xml:space="preserve"> the discrepancy between the fieldwork deadwood pools values and the model ones:</w:t>
      </w:r>
    </w:p>
    <w:p w14:paraId="0D235B07" w14:textId="77777777" w:rsidR="00EF0A13" w:rsidRDefault="00EF0A13" w:rsidP="00EF0A13">
      <w:pPr>
        <w:spacing w:before="120" w:after="120"/>
        <w:jc w:val="both"/>
        <w:rPr>
          <w:rFonts w:ascii="Times New Roman" w:hAnsi="Times New Roman" w:cs="Times New Roman"/>
        </w:rPr>
      </w:pPr>
    </w:p>
    <w:p w14:paraId="2067C967" w14:textId="77777777" w:rsidR="00EF0A13" w:rsidRDefault="00EF0A13" w:rsidP="00EF0A13">
      <w:pPr>
        <w:spacing w:before="120" w:after="120"/>
        <w:jc w:val="both"/>
        <w:rPr>
          <w:rFonts w:ascii="Times New Roman" w:hAnsi="Times New Roman" w:cs="Times New Roman"/>
        </w:rPr>
      </w:pPr>
      <w:proofErr w:type="spellStart"/>
      <w:r w:rsidRPr="0021257B">
        <w:rPr>
          <w:rFonts w:ascii="Times New Roman" w:hAnsi="Times New Roman" w:cs="Times New Roman"/>
        </w:rPr>
        <w:t>SNAG_sim</w:t>
      </w:r>
      <w:proofErr w:type="spellEnd"/>
      <w:r>
        <w:rPr>
          <w:rFonts w:ascii="Times New Roman" w:hAnsi="Times New Roman" w:cs="Times New Roman"/>
        </w:rPr>
        <w:t xml:space="preserve">: The kg/ha carbon values into the plot snag pool </w:t>
      </w:r>
    </w:p>
    <w:p w14:paraId="48A62E30" w14:textId="77777777" w:rsidR="00EF0A13" w:rsidRPr="00A27581" w:rsidRDefault="00EF0A13" w:rsidP="00EF0A13">
      <w:pPr>
        <w:spacing w:before="120" w:after="120"/>
        <w:jc w:val="both"/>
        <w:rPr>
          <w:rFonts w:ascii="Times New Roman" w:hAnsi="Times New Roman" w:cs="Times New Roman"/>
        </w:rPr>
      </w:pPr>
      <w:r w:rsidRPr="0021257B">
        <w:rPr>
          <w:rFonts w:ascii="Times New Roman" w:hAnsi="Times New Roman" w:cs="Times New Roman"/>
        </w:rPr>
        <w:t>AG_DW_C</w:t>
      </w:r>
      <w:r>
        <w:rPr>
          <w:rFonts w:ascii="Times New Roman" w:hAnsi="Times New Roman" w:cs="Times New Roman"/>
        </w:rPr>
        <w:t>: The aboveground fraction of the deadwood carbon (</w:t>
      </w:r>
      <w:proofErr w:type="spellStart"/>
      <w:r>
        <w:rPr>
          <w:rFonts w:ascii="Times New Roman" w:hAnsi="Times New Roman" w:cs="Times New Roman"/>
        </w:rPr>
        <w:t>snags+stumps+branches+logs</w:t>
      </w:r>
      <w:proofErr w:type="spellEnd"/>
      <w:r>
        <w:rPr>
          <w:rFonts w:ascii="Times New Roman" w:hAnsi="Times New Roman" w:cs="Times New Roman"/>
        </w:rPr>
        <w:t>)</w:t>
      </w:r>
    </w:p>
    <w:p w14:paraId="2A46C300" w14:textId="77777777" w:rsidR="00EF0A13" w:rsidRDefault="00EF0A13" w:rsidP="00EF0A13">
      <w:pPr>
        <w:spacing w:before="120" w:after="120"/>
        <w:jc w:val="both"/>
        <w:rPr>
          <w:rFonts w:ascii="Times New Roman" w:hAnsi="Times New Roman" w:cs="Times New Roman"/>
        </w:rPr>
      </w:pPr>
      <w:proofErr w:type="spellStart"/>
      <w:r w:rsidRPr="0021257B">
        <w:rPr>
          <w:rFonts w:ascii="Times New Roman" w:hAnsi="Times New Roman" w:cs="Times New Roman"/>
        </w:rPr>
        <w:t>total_DW_C_sim</w:t>
      </w:r>
      <w:proofErr w:type="spellEnd"/>
      <w:r>
        <w:rPr>
          <w:rFonts w:ascii="Times New Roman" w:hAnsi="Times New Roman" w:cs="Times New Roman"/>
        </w:rPr>
        <w:t>: The whole deadwood carbon amount (AG_DW_C + course roots)</w:t>
      </w:r>
    </w:p>
    <w:p w14:paraId="77B3AF7D" w14:textId="77777777" w:rsidR="00EF0A13" w:rsidRDefault="00EF0A13" w:rsidP="00EF0A13">
      <w:pPr>
        <w:spacing w:before="120" w:after="120"/>
        <w:jc w:val="both"/>
        <w:rPr>
          <w:rFonts w:ascii="Times New Roman" w:hAnsi="Times New Roman" w:cs="Times New Roman"/>
        </w:rPr>
      </w:pPr>
    </w:p>
    <w:p w14:paraId="43603C1B" w14:textId="77777777" w:rsidR="00EF0A13" w:rsidRDefault="00EF0A13" w:rsidP="00EF0A13">
      <w:pPr>
        <w:spacing w:before="120" w:after="120"/>
        <w:jc w:val="both"/>
        <w:rPr>
          <w:rFonts w:ascii="Times New Roman" w:hAnsi="Times New Roman" w:cs="Times New Roman"/>
        </w:rPr>
      </w:pPr>
      <w:r>
        <w:rPr>
          <w:rFonts w:ascii="Times New Roman" w:hAnsi="Times New Roman" w:cs="Times New Roman"/>
        </w:rPr>
        <w:t>An example of the plot L6_06 calculation:</w:t>
      </w:r>
    </w:p>
    <w:p w14:paraId="5DEEAEA6" w14:textId="77777777" w:rsidR="00EF0A13" w:rsidRDefault="00EF0A13" w:rsidP="00EF0A13">
      <w:pPr>
        <w:jc w:val="both"/>
        <w:rPr>
          <w:rFonts w:ascii="Calibri" w:eastAsia="Times New Roman" w:hAnsi="Calibri" w:cs="Calibri"/>
          <w:color w:val="000000"/>
        </w:rPr>
      </w:pPr>
      <w:proofErr w:type="spellStart"/>
      <w:proofErr w:type="gramStart"/>
      <w:r>
        <w:rPr>
          <w:rFonts w:ascii="Times New Roman" w:hAnsi="Times New Roman" w:cs="Times New Roman"/>
        </w:rPr>
        <w:t>swdC</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SNAG_sim</w:t>
      </w:r>
      <w:proofErr w:type="spellEnd"/>
      <w:r>
        <w:rPr>
          <w:rFonts w:ascii="Times New Roman" w:hAnsi="Times New Roman" w:cs="Times New Roman"/>
        </w:rPr>
        <w:t xml:space="preserve"> = </w:t>
      </w:r>
      <w:r w:rsidRPr="00932751">
        <w:rPr>
          <w:rFonts w:ascii="Calibri" w:eastAsia="Times New Roman" w:hAnsi="Calibri" w:cs="Calibri"/>
          <w:color w:val="000000"/>
        </w:rPr>
        <w:t>277869.714</w:t>
      </w:r>
      <w:r>
        <w:rPr>
          <w:rFonts w:ascii="Calibri" w:eastAsia="Times New Roman" w:hAnsi="Calibri" w:cs="Calibri"/>
          <w:color w:val="000000"/>
        </w:rPr>
        <w:t xml:space="preserve"> </w:t>
      </w:r>
    </w:p>
    <w:p w14:paraId="28AF0427" w14:textId="77777777" w:rsidR="00EF0A13" w:rsidRPr="00932751" w:rsidRDefault="00EF0A13" w:rsidP="00EF0A13">
      <w:pPr>
        <w:jc w:val="both"/>
        <w:rPr>
          <w:rFonts w:ascii="Calibri" w:eastAsia="Times New Roman" w:hAnsi="Calibri" w:cs="Calibri"/>
          <w:color w:val="000000"/>
        </w:rPr>
      </w:pPr>
      <w:proofErr w:type="spellStart"/>
      <w:proofErr w:type="gramStart"/>
      <w:r w:rsidRPr="00A27581">
        <w:rPr>
          <w:rFonts w:ascii="Times New Roman" w:hAnsi="Times New Roman" w:cs="Times New Roman"/>
          <w:i/>
          <w:iCs/>
        </w:rPr>
        <w:t>otherC</w:t>
      </w:r>
      <w:proofErr w:type="spellEnd"/>
      <w:r w:rsidRPr="00932751">
        <w:rPr>
          <w:rFonts w:ascii="Calibri" w:eastAsia="Times New Roman" w:hAnsi="Calibri" w:cs="Calibri"/>
          <w:color w:val="000000"/>
        </w:rPr>
        <w:t xml:space="preserve"> </w:t>
      </w:r>
      <w:r>
        <w:rPr>
          <w:rFonts w:ascii="Calibri" w:eastAsia="Times New Roman" w:hAnsi="Calibri" w:cs="Calibri"/>
          <w:color w:val="000000"/>
        </w:rPr>
        <w:t xml:space="preserve"> =</w:t>
      </w:r>
      <w:proofErr w:type="gramEnd"/>
      <w:r>
        <w:rPr>
          <w:rFonts w:ascii="Calibri" w:eastAsia="Times New Roman" w:hAnsi="Calibri" w:cs="Calibri"/>
          <w:color w:val="000000"/>
        </w:rPr>
        <w:t xml:space="preserve">  </w:t>
      </w:r>
      <w:proofErr w:type="spellStart"/>
      <w:r>
        <w:rPr>
          <w:rFonts w:ascii="Times New Roman" w:hAnsi="Times New Roman" w:cs="Times New Roman"/>
        </w:rPr>
        <w:t>SNAG_sim</w:t>
      </w:r>
      <w:proofErr w:type="spellEnd"/>
      <w:r>
        <w:rPr>
          <w:rFonts w:ascii="Times New Roman" w:hAnsi="Times New Roman" w:cs="Times New Roman"/>
        </w:rPr>
        <w:t>*0.6 =</w:t>
      </w:r>
      <w:r>
        <w:rPr>
          <w:rFonts w:ascii="Calibri" w:eastAsia="Times New Roman" w:hAnsi="Calibri" w:cs="Calibri"/>
          <w:color w:val="000000"/>
        </w:rPr>
        <w:t xml:space="preserve"> </w:t>
      </w:r>
      <w:r w:rsidRPr="00932751">
        <w:rPr>
          <w:rFonts w:ascii="Calibri" w:eastAsia="Times New Roman" w:hAnsi="Calibri" w:cs="Calibri"/>
          <w:color w:val="000000"/>
        </w:rPr>
        <w:t>166721</w:t>
      </w:r>
    </w:p>
    <w:p w14:paraId="5D3F0A95" w14:textId="77777777" w:rsidR="00EF0A13" w:rsidRDefault="00EF0A13" w:rsidP="00EF0A13">
      <w:pPr>
        <w:jc w:val="both"/>
        <w:rPr>
          <w:rFonts w:ascii="Times New Roman" w:hAnsi="Times New Roman" w:cs="Times New Roman"/>
        </w:rPr>
      </w:pPr>
      <w:proofErr w:type="spellStart"/>
      <w:r w:rsidRPr="00932751">
        <w:rPr>
          <w:rFonts w:ascii="Times New Roman" w:hAnsi="Times New Roman" w:cs="Times New Roman"/>
          <w:i/>
          <w:iCs/>
        </w:rPr>
        <w:t>youngRefractoryC</w:t>
      </w:r>
      <w:proofErr w:type="spellEnd"/>
      <w:r>
        <w:rPr>
          <w:rFonts w:ascii="Times New Roman" w:hAnsi="Times New Roman" w:cs="Times New Roman"/>
        </w:rPr>
        <w:t xml:space="preserve"> = </w:t>
      </w:r>
      <w:proofErr w:type="spellStart"/>
      <w:r w:rsidRPr="0021257B">
        <w:rPr>
          <w:rFonts w:ascii="Times New Roman" w:hAnsi="Times New Roman" w:cs="Times New Roman"/>
        </w:rPr>
        <w:t>total_DW_C_sim</w:t>
      </w:r>
      <w:proofErr w:type="spellEnd"/>
      <w:r w:rsidRPr="00932751">
        <w:rPr>
          <w:rFonts w:ascii="Times New Roman" w:hAnsi="Times New Roman" w:cs="Times New Roman"/>
        </w:rPr>
        <w:t xml:space="preserve"> </w:t>
      </w:r>
      <w:r>
        <w:rPr>
          <w:rFonts w:ascii="Times New Roman" w:hAnsi="Times New Roman" w:cs="Times New Roman"/>
        </w:rPr>
        <w:t>(</w:t>
      </w:r>
      <w:r w:rsidRPr="00E97401">
        <w:rPr>
          <w:rFonts w:ascii="Calibri" w:eastAsia="Times New Roman" w:hAnsi="Calibri" w:cs="Calibri"/>
          <w:color w:val="000000"/>
        </w:rPr>
        <w:t>781915.3618</w:t>
      </w:r>
      <w:r>
        <w:rPr>
          <w:rFonts w:ascii="Times New Roman" w:hAnsi="Times New Roman" w:cs="Times New Roman"/>
        </w:rPr>
        <w:t xml:space="preserve">) - </w:t>
      </w:r>
      <w:proofErr w:type="spellStart"/>
      <w:r>
        <w:rPr>
          <w:rFonts w:ascii="Times New Roman" w:hAnsi="Times New Roman" w:cs="Times New Roman"/>
        </w:rPr>
        <w:t>SNAG_sim</w:t>
      </w:r>
      <w:proofErr w:type="spellEnd"/>
      <w:r>
        <w:rPr>
          <w:rFonts w:ascii="Times New Roman" w:hAnsi="Times New Roman" w:cs="Times New Roman"/>
        </w:rPr>
        <w:t xml:space="preserve"> – </w:t>
      </w:r>
      <w:proofErr w:type="spellStart"/>
      <w:r w:rsidRPr="00A27581">
        <w:rPr>
          <w:rFonts w:ascii="Times New Roman" w:hAnsi="Times New Roman" w:cs="Times New Roman"/>
          <w:i/>
          <w:iCs/>
        </w:rPr>
        <w:t>otherC</w:t>
      </w:r>
      <w:proofErr w:type="spellEnd"/>
      <w:r>
        <w:rPr>
          <w:rFonts w:ascii="Times New Roman" w:hAnsi="Times New Roman" w:cs="Times New Roman"/>
        </w:rPr>
        <w:t xml:space="preserve"> = </w:t>
      </w:r>
      <w:r w:rsidRPr="00932751">
        <w:rPr>
          <w:rFonts w:ascii="Times New Roman" w:hAnsi="Times New Roman" w:cs="Times New Roman"/>
        </w:rPr>
        <w:t>337323.8</w:t>
      </w:r>
    </w:p>
    <w:p w14:paraId="2D4D22DF" w14:textId="77777777" w:rsidR="00FA50EA" w:rsidRDefault="00FA50EA" w:rsidP="00EF0A13">
      <w:pPr>
        <w:jc w:val="both"/>
        <w:rPr>
          <w:rFonts w:ascii="Times New Roman" w:hAnsi="Times New Roman" w:cs="Times New Roman"/>
        </w:rPr>
      </w:pPr>
    </w:p>
    <w:p w14:paraId="64ECE574" w14:textId="77777777" w:rsidR="00FA50EA" w:rsidRPr="002732B8" w:rsidRDefault="00FA50EA" w:rsidP="00FA50EA">
      <w:pPr>
        <w:pStyle w:val="FirstParagraph"/>
        <w:jc w:val="both"/>
        <w:rPr>
          <w:rFonts w:ascii="Times New Roman" w:hAnsi="Times New Roman" w:cs="Times New Roman"/>
          <w:sz w:val="22"/>
          <w:szCs w:val="22"/>
        </w:rPr>
      </w:pPr>
      <w:r w:rsidRPr="002732B8">
        <w:rPr>
          <w:rFonts w:ascii="Times New Roman" w:hAnsi="Times New Roman" w:cs="Times New Roman"/>
          <w:sz w:val="22"/>
          <w:szCs w:val="22"/>
        </w:rPr>
        <w:t xml:space="preserve">Deadwood </w:t>
      </w:r>
      <w:r w:rsidRPr="002732B8">
        <w:rPr>
          <w:rFonts w:ascii="Times New Roman" w:hAnsi="Times New Roman" w:cs="Times New Roman"/>
          <w:sz w:val="22"/>
          <w:szCs w:val="22"/>
          <w:highlight w:val="cyan"/>
        </w:rPr>
        <w:t>decay stage</w:t>
      </w:r>
      <w:r w:rsidRPr="002732B8">
        <w:rPr>
          <w:rFonts w:ascii="Times New Roman" w:hAnsi="Times New Roman" w:cs="Times New Roman"/>
          <w:sz w:val="22"/>
          <w:szCs w:val="22"/>
        </w:rPr>
        <w:t xml:space="preserve"> basic wood density conversion from 5 decay classes as in </w:t>
      </w:r>
      <w:proofErr w:type="spellStart"/>
      <w:r w:rsidRPr="002732B8">
        <w:rPr>
          <w:rFonts w:ascii="Times New Roman" w:hAnsi="Times New Roman" w:cs="Times New Roman"/>
          <w:sz w:val="22"/>
          <w:szCs w:val="22"/>
        </w:rPr>
        <w:t>doroteja</w:t>
      </w:r>
      <w:proofErr w:type="spellEnd"/>
      <w:r w:rsidRPr="002732B8">
        <w:rPr>
          <w:rFonts w:ascii="Times New Roman" w:hAnsi="Times New Roman" w:cs="Times New Roman"/>
          <w:sz w:val="22"/>
          <w:szCs w:val="22"/>
        </w:rPr>
        <w:t xml:space="preserve"> et al., (2023) to 4 classes as in Jenik dataset (Hofmeister et al.</w:t>
      </w:r>
      <w:proofErr w:type="gramStart"/>
      <w:r w:rsidRPr="002732B8">
        <w:rPr>
          <w:rFonts w:ascii="Times New Roman" w:hAnsi="Times New Roman" w:cs="Times New Roman"/>
          <w:sz w:val="22"/>
          <w:szCs w:val="22"/>
        </w:rPr>
        <w:t>, )</w:t>
      </w:r>
      <w:proofErr w:type="gramEnd"/>
      <w:r w:rsidRPr="002732B8">
        <w:rPr>
          <w:rFonts w:ascii="Times New Roman" w:hAnsi="Times New Roman" w:cs="Times New Roman"/>
          <w:sz w:val="22"/>
          <w:szCs w:val="22"/>
        </w:rPr>
        <w:t xml:space="preserve"> for the available tree genus. This conversion is based on the adjusted values for a generalization in Europe of </w:t>
      </w:r>
      <w:hyperlink r:id="rId13" w:history="1">
        <w:r w:rsidRPr="002732B8">
          <w:rPr>
            <w:rFonts w:ascii="Times New Roman" w:hAnsi="Times New Roman" w:cs="Times New Roman"/>
            <w:sz w:val="22"/>
            <w:szCs w:val="22"/>
          </w:rPr>
          <w:t>https://doi.org/10.1016/j.foreco.2023.121431</w:t>
        </w:r>
      </w:hyperlink>
      <w:r w:rsidRPr="002732B8">
        <w:rPr>
          <w:rFonts w:ascii="Times New Roman" w:hAnsi="Times New Roman" w:cs="Times New Roman"/>
          <w:sz w:val="22"/>
          <w:szCs w:val="22"/>
        </w:rPr>
        <w:t>. To derive the function for the decay stages we used the statistical function to calculate quartiles from quantile distributed functions of deadwood decay stages based on 5 categories. Theory behind the statistical function</w:t>
      </w:r>
    </w:p>
    <w:p w14:paraId="6F2B9045" w14:textId="77777777" w:rsidR="00FA50EA" w:rsidRPr="002732B8" w:rsidRDefault="00FA50EA" w:rsidP="00FA50EA">
      <w:pPr>
        <w:pStyle w:val="BodyText"/>
        <w:jc w:val="both"/>
        <w:rPr>
          <w:rFonts w:ascii="Times New Roman" w:hAnsi="Times New Roman" w:cs="Times New Roman"/>
          <w:sz w:val="22"/>
          <w:szCs w:val="22"/>
        </w:rPr>
      </w:pPr>
      <w:r w:rsidRPr="002732B8">
        <w:rPr>
          <w:rFonts w:ascii="Times New Roman" w:hAnsi="Times New Roman" w:cs="Times New Roman"/>
          <w:sz w:val="22"/>
          <w:szCs w:val="22"/>
        </w:rPr>
        <w:t xml:space="preserve">The </w:t>
      </w:r>
      <w:r w:rsidRPr="002732B8">
        <w:rPr>
          <w:rStyle w:val="VerbatimChar"/>
          <w:rFonts w:ascii="Times New Roman" w:hAnsi="Times New Roman" w:cs="Times New Roman"/>
          <w:szCs w:val="22"/>
        </w:rPr>
        <w:t>quantile</w:t>
      </w:r>
      <w:r w:rsidRPr="002732B8">
        <w:rPr>
          <w:rFonts w:ascii="Times New Roman" w:hAnsi="Times New Roman" w:cs="Times New Roman"/>
          <w:sz w:val="22"/>
          <w:szCs w:val="22"/>
        </w:rPr>
        <w:t xml:space="preserve"> function calculates quantiles based on a specified probability distribution. The formula for calculating quantiles is based on the definition of quantiles and the probability distribution.</w:t>
      </w:r>
    </w:p>
    <w:p w14:paraId="754A8DF1" w14:textId="77777777" w:rsidR="00FA50EA" w:rsidRPr="002732B8" w:rsidRDefault="00FA50EA" w:rsidP="00FA50EA">
      <w:pPr>
        <w:pStyle w:val="BodyText"/>
        <w:jc w:val="both"/>
        <w:rPr>
          <w:rFonts w:ascii="Times New Roman" w:hAnsi="Times New Roman" w:cs="Times New Roman"/>
          <w:sz w:val="22"/>
          <w:szCs w:val="22"/>
        </w:rPr>
      </w:pPr>
      <w:r w:rsidRPr="002732B8">
        <w:rPr>
          <w:rFonts w:ascii="Times New Roman" w:hAnsi="Times New Roman" w:cs="Times New Roman"/>
          <w:sz w:val="22"/>
          <w:szCs w:val="22"/>
        </w:rPr>
        <w:t xml:space="preserve">The formula for the quantile at probability </w:t>
      </w:r>
      <w:r w:rsidRPr="002732B8">
        <w:rPr>
          <w:rStyle w:val="VerbatimChar"/>
          <w:rFonts w:ascii="Times New Roman" w:hAnsi="Times New Roman" w:cs="Times New Roman"/>
          <w:szCs w:val="22"/>
        </w:rPr>
        <w:t>p</w:t>
      </w:r>
      <w:r w:rsidRPr="002732B8">
        <w:rPr>
          <w:rFonts w:ascii="Times New Roman" w:hAnsi="Times New Roman" w:cs="Times New Roman"/>
          <w:sz w:val="22"/>
          <w:szCs w:val="22"/>
        </w:rPr>
        <w:t xml:space="preserve"> (where </w:t>
      </w:r>
      <w:r w:rsidRPr="002732B8">
        <w:rPr>
          <w:rStyle w:val="VerbatimChar"/>
          <w:rFonts w:ascii="Times New Roman" w:hAnsi="Times New Roman" w:cs="Times New Roman"/>
          <w:szCs w:val="22"/>
        </w:rPr>
        <w:t>p</w:t>
      </w:r>
      <w:r w:rsidRPr="002732B8">
        <w:rPr>
          <w:rFonts w:ascii="Times New Roman" w:hAnsi="Times New Roman" w:cs="Times New Roman"/>
          <w:sz w:val="22"/>
          <w:szCs w:val="22"/>
        </w:rPr>
        <w:t xml:space="preserve"> is a value between 0 and 1) is defined as:</w:t>
      </w:r>
    </w:p>
    <w:p w14:paraId="48343F86" w14:textId="77777777" w:rsidR="00FA50EA" w:rsidRPr="002732B8" w:rsidRDefault="00FA50EA" w:rsidP="00FA50EA">
      <w:pPr>
        <w:pStyle w:val="BodyText"/>
        <w:jc w:val="both"/>
        <w:rPr>
          <w:rFonts w:ascii="Times New Roman" w:hAnsi="Times New Roman" w:cs="Times New Roman"/>
          <w:sz w:val="22"/>
          <w:szCs w:val="22"/>
        </w:rPr>
      </w:pPr>
      <m:oMathPara>
        <m:oMathParaPr>
          <m:jc m:val="center"/>
        </m:oMathParaPr>
        <m:oMath>
          <m:r>
            <w:rPr>
              <w:rFonts w:ascii="Cambria Math" w:hAnsi="Cambria Math" w:cs="Times New Roman"/>
              <w:sz w:val="22"/>
              <w:szCs w:val="22"/>
            </w:rPr>
            <w:lastRenderedPageBreak/>
            <m:t>Q</m:t>
          </m:r>
          <m:d>
            <m:dPr>
              <m:ctrlPr>
                <w:rPr>
                  <w:rFonts w:ascii="Cambria Math" w:hAnsi="Cambria Math" w:cs="Times New Roman"/>
                  <w:sz w:val="22"/>
                  <w:szCs w:val="22"/>
                </w:rPr>
              </m:ctrlPr>
            </m:dPr>
            <m:e>
              <m:r>
                <w:rPr>
                  <w:rFonts w:ascii="Cambria Math" w:hAnsi="Cambria Math" w:cs="Times New Roman"/>
                  <w:sz w:val="22"/>
                  <w:szCs w:val="22"/>
                </w:rPr>
                <m:t>p</m:t>
              </m:r>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1</m:t>
              </m:r>
              <m:r>
                <m:rPr>
                  <m:sty m:val="p"/>
                </m:rPr>
                <w:rPr>
                  <w:rFonts w:ascii="Cambria Math" w:hAnsi="Cambria Math" w:cs="Times New Roman"/>
                  <w:sz w:val="22"/>
                  <w:szCs w:val="22"/>
                </w:rPr>
                <m:t>-</m:t>
              </m:r>
              <m:r>
                <w:rPr>
                  <w:rFonts w:ascii="Cambria Math" w:hAnsi="Cambria Math" w:cs="Times New Roman"/>
                  <w:sz w:val="22"/>
                  <w:szCs w:val="22"/>
                </w:rPr>
                <m:t>g</m:t>
              </m:r>
            </m:e>
          </m:d>
          <m:r>
            <m:rPr>
              <m:sty m:val="p"/>
            </m:rPr>
            <w:rPr>
              <w:rFonts w:ascii="Cambria Math" w:hAnsi="Cambria Math" w:cs="Times New Roman"/>
              <w:sz w:val="22"/>
              <w:szCs w:val="22"/>
            </w:rPr>
            <m:t>×</m:t>
          </m:r>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e>
          </m:d>
          <m:r>
            <m:rPr>
              <m:sty m:val="p"/>
            </m:rPr>
            <w:rPr>
              <w:rFonts w:ascii="Cambria Math" w:hAnsi="Cambria Math" w:cs="Times New Roman"/>
              <w:sz w:val="22"/>
              <w:szCs w:val="22"/>
            </w:rPr>
            <m:t>+</m:t>
          </m:r>
          <m:r>
            <w:rPr>
              <w:rFonts w:ascii="Cambria Math" w:hAnsi="Cambria Math" w:cs="Times New Roman"/>
              <w:sz w:val="22"/>
              <w:szCs w:val="22"/>
            </w:rPr>
            <m:t>g</m:t>
          </m:r>
          <m:r>
            <m:rPr>
              <m:sty m:val="p"/>
            </m:rPr>
            <w:rPr>
              <w:rFonts w:ascii="Cambria Math" w:hAnsi="Cambria Math" w:cs="Times New Roman"/>
              <w:sz w:val="22"/>
              <w:szCs w:val="22"/>
            </w:rPr>
            <m:t>×</m:t>
          </m:r>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e>
          </m:d>
          <m:r>
            <w:rPr>
              <w:rFonts w:ascii="Cambria Math" w:hAnsi="Cambria Math" w:cs="Times New Roman"/>
              <w:sz w:val="22"/>
              <w:szCs w:val="22"/>
            </w:rPr>
            <m:t> </m:t>
          </m:r>
          <m:r>
            <m:rPr>
              <m:nor/>
            </m:rPr>
            <w:rPr>
              <w:rFonts w:ascii="Times New Roman" w:hAnsi="Times New Roman" w:cs="Times New Roman"/>
              <w:b/>
              <w:bCs/>
              <w:sz w:val="22"/>
              <w:szCs w:val="22"/>
            </w:rPr>
            <m:t>(Eq. 1)</m:t>
          </m:r>
        </m:oMath>
      </m:oMathPara>
    </w:p>
    <w:p w14:paraId="1775E3F4" w14:textId="77777777" w:rsidR="00FA50EA" w:rsidRPr="002732B8" w:rsidRDefault="00FA50EA" w:rsidP="00FA50EA">
      <w:pPr>
        <w:pStyle w:val="FirstParagraph"/>
        <w:jc w:val="both"/>
        <w:rPr>
          <w:rFonts w:ascii="Times New Roman" w:hAnsi="Times New Roman" w:cs="Times New Roman"/>
          <w:sz w:val="22"/>
          <w:szCs w:val="22"/>
        </w:rPr>
      </w:pPr>
      <w:r w:rsidRPr="002732B8">
        <w:rPr>
          <w:rFonts w:ascii="Times New Roman" w:hAnsi="Times New Roman" w:cs="Times New Roman"/>
          <w:sz w:val="22"/>
          <w:szCs w:val="22"/>
        </w:rPr>
        <w:t>Where:</w:t>
      </w:r>
    </w:p>
    <w:p w14:paraId="20B6CD2D" w14:textId="77777777" w:rsidR="00FA50EA" w:rsidRPr="002732B8" w:rsidRDefault="00FA50EA" w:rsidP="00FA50EA">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p</m:t>
            </m:r>
          </m:e>
        </m:d>
      </m:oMath>
      <w:r w:rsidRPr="002732B8">
        <w:rPr>
          <w:rFonts w:ascii="Times New Roman" w:hAnsi="Times New Roman" w:cs="Times New Roman"/>
          <w:sz w:val="22"/>
          <w:szCs w:val="22"/>
        </w:rPr>
        <w:t xml:space="preserve"> is the quantile at probability </w:t>
      </w:r>
      <m:oMath>
        <m:r>
          <w:rPr>
            <w:rFonts w:ascii="Cambria Math" w:hAnsi="Cambria Math" w:cs="Times New Roman"/>
            <w:sz w:val="22"/>
            <w:szCs w:val="22"/>
          </w:rPr>
          <m:t>p</m:t>
        </m:r>
      </m:oMath>
      <w:r w:rsidRPr="002732B8">
        <w:rPr>
          <w:rFonts w:ascii="Times New Roman" w:hAnsi="Times New Roman" w:cs="Times New Roman"/>
          <w:sz w:val="22"/>
          <w:szCs w:val="22"/>
        </w:rPr>
        <w:t>.</w:t>
      </w:r>
    </w:p>
    <w:p w14:paraId="1FEA0068" w14:textId="77777777" w:rsidR="00FA50EA" w:rsidRPr="002732B8" w:rsidRDefault="00FA50EA" w:rsidP="00FA50EA">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e>
        </m:d>
      </m:oMath>
      <w:r w:rsidRPr="002732B8">
        <w:rPr>
          <w:rFonts w:ascii="Times New Roman" w:hAnsi="Times New Roman" w:cs="Times New Roman"/>
          <w:sz w:val="22"/>
          <w:szCs w:val="22"/>
        </w:rPr>
        <w:t xml:space="preserve"> is the </w:t>
      </w:r>
      <m:oMath>
        <m:r>
          <w:rPr>
            <w:rFonts w:ascii="Cambria Math" w:hAnsi="Cambria Math" w:cs="Times New Roman"/>
            <w:sz w:val="22"/>
            <w:szCs w:val="22"/>
          </w:rPr>
          <m:t>j</m:t>
        </m:r>
      </m:oMath>
      <w:r w:rsidRPr="002732B8">
        <w:rPr>
          <w:rFonts w:ascii="Times New Roman" w:hAnsi="Times New Roman" w:cs="Times New Roman"/>
          <w:sz w:val="22"/>
          <w:szCs w:val="22"/>
        </w:rPr>
        <w:t xml:space="preserve">-th order statistic, which is the data point just below the </w:t>
      </w:r>
      <m:oMath>
        <m:r>
          <w:rPr>
            <w:rFonts w:ascii="Cambria Math" w:hAnsi="Cambria Math" w:cs="Times New Roman"/>
            <w:sz w:val="22"/>
            <w:szCs w:val="22"/>
          </w:rPr>
          <m:t>p</m:t>
        </m:r>
      </m:oMath>
      <w:r w:rsidRPr="002732B8">
        <w:rPr>
          <w:rFonts w:ascii="Times New Roman" w:hAnsi="Times New Roman" w:cs="Times New Roman"/>
          <w:sz w:val="22"/>
          <w:szCs w:val="22"/>
        </w:rPr>
        <w:t>-th percentile.</w:t>
      </w:r>
    </w:p>
    <w:p w14:paraId="6F1E4D13" w14:textId="77777777" w:rsidR="00FA50EA" w:rsidRPr="002732B8" w:rsidRDefault="00FA50EA" w:rsidP="00FA50EA">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e>
        </m:d>
      </m:oMath>
      <w:r w:rsidRPr="002732B8">
        <w:rPr>
          <w:rFonts w:ascii="Times New Roman" w:hAnsi="Times New Roman" w:cs="Times New Roman"/>
          <w:sz w:val="22"/>
          <w:szCs w:val="22"/>
        </w:rPr>
        <w:t xml:space="preserve"> is the </w:t>
      </w:r>
      <m:oMath>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oMath>
      <w:r w:rsidRPr="002732B8">
        <w:rPr>
          <w:rFonts w:ascii="Times New Roman" w:hAnsi="Times New Roman" w:cs="Times New Roman"/>
          <w:sz w:val="22"/>
          <w:szCs w:val="22"/>
        </w:rPr>
        <w:t xml:space="preserve">-th order statistic, which is the data point just above the </w:t>
      </w:r>
      <m:oMath>
        <m:r>
          <w:rPr>
            <w:rFonts w:ascii="Cambria Math" w:hAnsi="Cambria Math" w:cs="Times New Roman"/>
            <w:sz w:val="22"/>
            <w:szCs w:val="22"/>
          </w:rPr>
          <m:t>p</m:t>
        </m:r>
      </m:oMath>
      <w:r w:rsidRPr="002732B8">
        <w:rPr>
          <w:rFonts w:ascii="Times New Roman" w:hAnsi="Times New Roman" w:cs="Times New Roman"/>
          <w:sz w:val="22"/>
          <w:szCs w:val="22"/>
        </w:rPr>
        <w:t>-th percentile.</w:t>
      </w:r>
    </w:p>
    <w:p w14:paraId="787FD40D" w14:textId="77777777" w:rsidR="00FA50EA" w:rsidRPr="002732B8" w:rsidRDefault="00FA50EA" w:rsidP="00FA50EA">
      <w:pPr>
        <w:pStyle w:val="Compact"/>
        <w:numPr>
          <w:ilvl w:val="0"/>
          <w:numId w:val="2"/>
        </w:numPr>
        <w:jc w:val="both"/>
        <w:rPr>
          <w:rFonts w:ascii="Times New Roman" w:hAnsi="Times New Roman" w:cs="Times New Roman"/>
          <w:sz w:val="22"/>
          <w:szCs w:val="22"/>
        </w:rPr>
      </w:pPr>
      <m:oMath>
        <m:r>
          <w:rPr>
            <w:rFonts w:ascii="Cambria Math" w:hAnsi="Cambria Math" w:cs="Times New Roman"/>
            <w:sz w:val="22"/>
            <w:szCs w:val="22"/>
          </w:rPr>
          <m:t>g</m:t>
        </m:r>
      </m:oMath>
      <w:r w:rsidRPr="002732B8">
        <w:rPr>
          <w:rFonts w:ascii="Times New Roman" w:hAnsi="Times New Roman" w:cs="Times New Roman"/>
          <w:sz w:val="22"/>
          <w:szCs w:val="22"/>
        </w:rPr>
        <w:t xml:space="preserve"> is the fractional part of the index </w:t>
      </w:r>
      <m:oMath>
        <m:r>
          <w:rPr>
            <w:rFonts w:ascii="Cambria Math" w:hAnsi="Cambria Math" w:cs="Times New Roman"/>
            <w:sz w:val="22"/>
            <w:szCs w:val="22"/>
          </w:rPr>
          <m:t>j</m:t>
        </m:r>
      </m:oMath>
      <w:r w:rsidRPr="002732B8">
        <w:rPr>
          <w:rFonts w:ascii="Times New Roman" w:hAnsi="Times New Roman" w:cs="Times New Roman"/>
          <w:sz w:val="22"/>
          <w:szCs w:val="22"/>
        </w:rPr>
        <w:t xml:space="preserve"> (i.e., the decimal portion).</w:t>
      </w:r>
    </w:p>
    <w:p w14:paraId="5AF6E431" w14:textId="77777777" w:rsidR="00FA50EA" w:rsidRPr="002732B8" w:rsidRDefault="00FA50EA" w:rsidP="00FA50EA">
      <w:pPr>
        <w:pStyle w:val="FirstParagraph"/>
        <w:jc w:val="both"/>
        <w:rPr>
          <w:rFonts w:ascii="Times New Roman" w:hAnsi="Times New Roman" w:cs="Times New Roman"/>
          <w:sz w:val="22"/>
          <w:szCs w:val="22"/>
        </w:rPr>
      </w:pPr>
      <w:r w:rsidRPr="002732B8">
        <w:rPr>
          <w:rFonts w:ascii="Times New Roman" w:hAnsi="Times New Roman" w:cs="Times New Roman"/>
          <w:sz w:val="22"/>
          <w:szCs w:val="22"/>
        </w:rPr>
        <w:t xml:space="preserve">The </w:t>
      </w:r>
      <w:r w:rsidRPr="002732B8">
        <w:rPr>
          <w:rStyle w:val="VerbatimChar"/>
          <w:rFonts w:ascii="Times New Roman" w:hAnsi="Times New Roman" w:cs="Times New Roman"/>
          <w:szCs w:val="22"/>
        </w:rPr>
        <w:t>quantile</w:t>
      </w:r>
      <w:r w:rsidRPr="002732B8">
        <w:rPr>
          <w:rFonts w:ascii="Times New Roman" w:hAnsi="Times New Roman" w:cs="Times New Roman"/>
          <w:sz w:val="22"/>
          <w:szCs w:val="22"/>
        </w:rPr>
        <w:t xml:space="preserve"> function in R uses linear interpolation to calculate quantiles. It estimates the quantiles by finding the order statistics </w:t>
      </w: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e>
        </m:d>
      </m:oMath>
      <w:r w:rsidRPr="002732B8">
        <w:rPr>
          <w:rFonts w:ascii="Times New Roman" w:hAnsi="Times New Roman" w:cs="Times New Roman"/>
          <w:sz w:val="22"/>
          <w:szCs w:val="22"/>
        </w:rPr>
        <w:t xml:space="preserve"> and </w:t>
      </w:r>
      <m:oMath>
        <m:r>
          <w:rPr>
            <w:rFonts w:ascii="Cambria Math" w:hAnsi="Cambria Math" w:cs="Times New Roman"/>
            <w:sz w:val="22"/>
            <w:szCs w:val="22"/>
          </w:rPr>
          <m:t>x</m:t>
        </m:r>
        <m:d>
          <m:dPr>
            <m:begChr m:val="["/>
            <m:endChr m:val="]"/>
            <m:ctrlPr>
              <w:rPr>
                <w:rFonts w:ascii="Cambria Math" w:hAnsi="Cambria Math" w:cs="Times New Roman"/>
                <w:sz w:val="22"/>
                <w:szCs w:val="22"/>
              </w:rPr>
            </m:ctrlPr>
          </m:dPr>
          <m:e>
            <m:r>
              <w:rPr>
                <w:rFonts w:ascii="Cambria Math" w:hAnsi="Cambria Math" w:cs="Times New Roman"/>
                <w:sz w:val="22"/>
                <w:szCs w:val="22"/>
              </w:rPr>
              <m:t>j</m:t>
            </m:r>
            <m:r>
              <m:rPr>
                <m:sty m:val="p"/>
              </m:rPr>
              <w:rPr>
                <w:rFonts w:ascii="Cambria Math" w:hAnsi="Cambria Math" w:cs="Times New Roman"/>
                <w:sz w:val="22"/>
                <w:szCs w:val="22"/>
              </w:rPr>
              <m:t>+</m:t>
            </m:r>
            <m:r>
              <w:rPr>
                <w:rFonts w:ascii="Cambria Math" w:hAnsi="Cambria Math" w:cs="Times New Roman"/>
                <w:sz w:val="22"/>
                <w:szCs w:val="22"/>
              </w:rPr>
              <m:t>1</m:t>
            </m:r>
          </m:e>
        </m:d>
      </m:oMath>
      <w:r w:rsidRPr="002732B8">
        <w:rPr>
          <w:rFonts w:ascii="Times New Roman" w:hAnsi="Times New Roman" w:cs="Times New Roman"/>
          <w:sz w:val="22"/>
          <w:szCs w:val="22"/>
        </w:rPr>
        <w:t xml:space="preserve"> based on the specified </w:t>
      </w:r>
      <m:oMath>
        <m:r>
          <w:rPr>
            <w:rFonts w:ascii="Cambria Math" w:hAnsi="Cambria Math" w:cs="Times New Roman"/>
            <w:sz w:val="22"/>
            <w:szCs w:val="22"/>
          </w:rPr>
          <m:t>p</m:t>
        </m:r>
      </m:oMath>
      <w:r w:rsidRPr="002732B8">
        <w:rPr>
          <w:rFonts w:ascii="Times New Roman" w:hAnsi="Times New Roman" w:cs="Times New Roman"/>
          <w:sz w:val="22"/>
          <w:szCs w:val="22"/>
        </w:rPr>
        <w:t>, and then performs the linear interpolation using the formula above to estimate the quantile value.</w:t>
      </w:r>
    </w:p>
    <w:p w14:paraId="4C9D142D" w14:textId="77777777" w:rsidR="00FA50EA" w:rsidRPr="002732B8" w:rsidRDefault="00FA50EA" w:rsidP="00FA50EA">
      <w:pPr>
        <w:pStyle w:val="BodyText"/>
        <w:jc w:val="both"/>
        <w:rPr>
          <w:rFonts w:ascii="Times New Roman" w:hAnsi="Times New Roman" w:cs="Times New Roman"/>
          <w:sz w:val="22"/>
          <w:szCs w:val="22"/>
        </w:rPr>
      </w:pPr>
      <w:r w:rsidRPr="002732B8">
        <w:rPr>
          <w:rFonts w:ascii="Times New Roman" w:hAnsi="Times New Roman" w:cs="Times New Roman"/>
          <w:sz w:val="22"/>
          <w:szCs w:val="22"/>
        </w:rPr>
        <w:t xml:space="preserve">In simpler terms, the </w:t>
      </w:r>
      <w:r w:rsidRPr="002732B8">
        <w:rPr>
          <w:rStyle w:val="VerbatimChar"/>
          <w:rFonts w:ascii="Times New Roman" w:hAnsi="Times New Roman" w:cs="Times New Roman"/>
          <w:szCs w:val="22"/>
        </w:rPr>
        <w:t>quantile</w:t>
      </w:r>
      <w:r w:rsidRPr="002732B8">
        <w:rPr>
          <w:rFonts w:ascii="Times New Roman" w:hAnsi="Times New Roman" w:cs="Times New Roman"/>
          <w:sz w:val="22"/>
          <w:szCs w:val="22"/>
        </w:rPr>
        <w:t xml:space="preserve"> function finds the two data points that bound the specified quantile, calculates a weighted average of those points, and returns the estimated quantile value. This allows you to divide your data into segments based on the specified probabilities (e.g., quartiles at </w:t>
      </w:r>
      <m:oMath>
        <m:r>
          <w:rPr>
            <w:rFonts w:ascii="Cambria Math" w:hAnsi="Cambria Math" w:cs="Times New Roman"/>
            <w:sz w:val="22"/>
            <w:szCs w:val="22"/>
          </w:rPr>
          <m:t>p</m:t>
        </m:r>
        <m:r>
          <m:rPr>
            <m:sty m:val="p"/>
          </m:rPr>
          <w:rPr>
            <w:rFonts w:ascii="Cambria Math" w:hAnsi="Cambria Math" w:cs="Times New Roman"/>
            <w:sz w:val="22"/>
            <w:szCs w:val="22"/>
          </w:rPr>
          <m:t>=</m:t>
        </m:r>
        <m:r>
          <w:rPr>
            <w:rFonts w:ascii="Cambria Math" w:hAnsi="Cambria Math" w:cs="Times New Roman"/>
            <w:sz w:val="22"/>
            <w:szCs w:val="22"/>
          </w:rPr>
          <m:t>0.25</m:t>
        </m:r>
        <m:r>
          <m:rPr>
            <m:sty m:val="p"/>
          </m:rPr>
          <w:rPr>
            <w:rFonts w:ascii="Cambria Math" w:hAnsi="Cambria Math" w:cs="Times New Roman"/>
            <w:sz w:val="22"/>
            <w:szCs w:val="22"/>
          </w:rPr>
          <m:t>,</m:t>
        </m:r>
        <m:r>
          <w:rPr>
            <w:rFonts w:ascii="Cambria Math" w:hAnsi="Cambria Math" w:cs="Times New Roman"/>
            <w:sz w:val="22"/>
            <w:szCs w:val="22"/>
          </w:rPr>
          <m:t>0.5</m:t>
        </m:r>
        <m:r>
          <m:rPr>
            <m:sty m:val="p"/>
          </m:rPr>
          <w:rPr>
            <w:rFonts w:ascii="Cambria Math" w:hAnsi="Cambria Math" w:cs="Times New Roman"/>
            <w:sz w:val="22"/>
            <w:szCs w:val="22"/>
          </w:rPr>
          <m:t>,</m:t>
        </m:r>
        <m:r>
          <w:rPr>
            <w:rFonts w:ascii="Cambria Math" w:hAnsi="Cambria Math" w:cs="Times New Roman"/>
            <w:sz w:val="22"/>
            <w:szCs w:val="22"/>
          </w:rPr>
          <m:t>0.75</m:t>
        </m:r>
      </m:oMath>
      <w:r w:rsidRPr="002732B8">
        <w:rPr>
          <w:rFonts w:ascii="Times New Roman" w:hAnsi="Times New Roman" w:cs="Times New Roman"/>
          <w:sz w:val="22"/>
          <w:szCs w:val="22"/>
        </w:rPr>
        <w:t>).</w:t>
      </w:r>
    </w:p>
    <w:p w14:paraId="411BDD29" w14:textId="77777777" w:rsidR="00FA50EA" w:rsidRDefault="00FA50EA" w:rsidP="00FA50EA">
      <w:pPr>
        <w:pStyle w:val="BodyText"/>
        <w:jc w:val="both"/>
        <w:rPr>
          <w:rFonts w:ascii="Times New Roman" w:hAnsi="Times New Roman" w:cs="Times New Roman"/>
          <w:sz w:val="18"/>
          <w:szCs w:val="18"/>
        </w:rPr>
      </w:pPr>
    </w:p>
    <w:p w14:paraId="65004D6D" w14:textId="77777777" w:rsidR="00FA50EA" w:rsidRPr="00D55FAB" w:rsidRDefault="00FA50EA" w:rsidP="00FA50EA">
      <w:pPr>
        <w:pStyle w:val="BodyText"/>
        <w:jc w:val="both"/>
        <w:rPr>
          <w:rFonts w:ascii="Times New Roman" w:hAnsi="Times New Roman" w:cs="Times New Roman"/>
          <w:sz w:val="18"/>
          <w:szCs w:val="18"/>
        </w:rPr>
      </w:pPr>
      <w:r w:rsidRPr="00D55FAB">
        <w:rPr>
          <w:rFonts w:ascii="Times New Roman" w:hAnsi="Times New Roman" w:cs="Times New Roman"/>
          <w:sz w:val="18"/>
          <w:szCs w:val="18"/>
        </w:rPr>
        <w:t xml:space="preserve">Table 1. Tables of deadwood decay classes per tree genus or tree functional type aggregated. All the values are expressed as dry biomass per volume </w:t>
      </w:r>
      <m:oMath>
        <m:r>
          <m:rPr>
            <m:nor/>
          </m:rPr>
          <w:rPr>
            <w:rFonts w:ascii="Times New Roman" w:hAnsi="Times New Roman" w:cs="Times New Roman"/>
            <w:sz w:val="18"/>
            <w:szCs w:val="18"/>
          </w:rPr>
          <m:t>kg</m:t>
        </m:r>
        <m:r>
          <m:rPr>
            <m:sty m:val="p"/>
          </m:rPr>
          <w:rPr>
            <w:rFonts w:ascii="Cambria Math" w:hAnsi="Cambria Math" w:cs="Times New Roman"/>
            <w:sz w:val="18"/>
            <w:szCs w:val="18"/>
          </w:rPr>
          <m:t>⋅</m:t>
        </m:r>
        <m:sSup>
          <m:sSupPr>
            <m:ctrlPr>
              <w:rPr>
                <w:rFonts w:ascii="Cambria Math" w:hAnsi="Cambria Math" w:cs="Times New Roman"/>
                <w:sz w:val="18"/>
                <w:szCs w:val="18"/>
              </w:rPr>
            </m:ctrlPr>
          </m:sSupPr>
          <m:e>
            <m:r>
              <m:rPr>
                <m:nor/>
              </m:rPr>
              <w:rPr>
                <w:rFonts w:ascii="Times New Roman" w:hAnsi="Times New Roman" w:cs="Times New Roman"/>
                <w:sz w:val="18"/>
                <w:szCs w:val="18"/>
              </w:rPr>
              <m:t>m</m:t>
            </m:r>
          </m:e>
          <m:sup>
            <m:r>
              <m:rPr>
                <m:sty m:val="p"/>
              </m:rPr>
              <w:rPr>
                <w:rFonts w:ascii="Cambria Math" w:hAnsi="Cambria Math" w:cs="Times New Roman"/>
                <w:sz w:val="18"/>
                <w:szCs w:val="18"/>
              </w:rPr>
              <m:t>-</m:t>
            </m:r>
            <m:r>
              <w:rPr>
                <w:rFonts w:ascii="Cambria Math" w:hAnsi="Cambria Math" w:cs="Times New Roman"/>
                <w:sz w:val="18"/>
                <w:szCs w:val="18"/>
              </w:rPr>
              <m:t>3</m:t>
            </m:r>
          </m:sup>
        </m:sSup>
      </m:oMath>
      <w:r w:rsidRPr="00D55FAB">
        <w:rPr>
          <w:rFonts w:ascii="Times New Roman" w:hAnsi="Times New Roman" w:cs="Times New Roman"/>
          <w:sz w:val="18"/>
          <w:szCs w:val="18"/>
        </w:rPr>
        <w:t>. The Decay Classes are a function of time, from the most recent wood decay stage to the oldest.</w:t>
      </w:r>
    </w:p>
    <w:tbl>
      <w:tblPr>
        <w:tblStyle w:val="Table"/>
        <w:tblW w:w="5000" w:type="pct"/>
        <w:tblLook w:val="0020" w:firstRow="1" w:lastRow="0" w:firstColumn="0" w:lastColumn="0" w:noHBand="0" w:noVBand="0"/>
      </w:tblPr>
      <w:tblGrid>
        <w:gridCol w:w="1316"/>
        <w:gridCol w:w="1662"/>
        <w:gridCol w:w="1661"/>
        <w:gridCol w:w="1661"/>
        <w:gridCol w:w="1661"/>
        <w:gridCol w:w="1661"/>
      </w:tblGrid>
      <w:tr w:rsidR="00FA50EA" w:rsidRPr="00D55FAB" w14:paraId="6A06D3DF" w14:textId="77777777" w:rsidTr="004D60F8">
        <w:trPr>
          <w:cnfStyle w:val="100000000000" w:firstRow="1" w:lastRow="0" w:firstColumn="0" w:lastColumn="0" w:oddVBand="0" w:evenVBand="0" w:oddHBand="0" w:evenHBand="0" w:firstRowFirstColumn="0" w:firstRowLastColumn="0" w:lastRowFirstColumn="0" w:lastRowLastColumn="0"/>
          <w:tblHeader/>
        </w:trPr>
        <w:tc>
          <w:tcPr>
            <w:tcW w:w="0" w:type="auto"/>
          </w:tcPr>
          <w:p w14:paraId="57A73F24"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Species</w:t>
            </w:r>
          </w:p>
        </w:tc>
        <w:tc>
          <w:tcPr>
            <w:tcW w:w="0" w:type="auto"/>
          </w:tcPr>
          <w:p w14:paraId="462E1B2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1</w:t>
            </w:r>
          </w:p>
        </w:tc>
        <w:tc>
          <w:tcPr>
            <w:tcW w:w="0" w:type="auto"/>
          </w:tcPr>
          <w:p w14:paraId="71D551AE"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2</w:t>
            </w:r>
          </w:p>
        </w:tc>
        <w:tc>
          <w:tcPr>
            <w:tcW w:w="0" w:type="auto"/>
          </w:tcPr>
          <w:p w14:paraId="1FAB733A"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3</w:t>
            </w:r>
          </w:p>
        </w:tc>
        <w:tc>
          <w:tcPr>
            <w:tcW w:w="0" w:type="auto"/>
          </w:tcPr>
          <w:p w14:paraId="0F704B05"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4</w:t>
            </w:r>
          </w:p>
        </w:tc>
        <w:tc>
          <w:tcPr>
            <w:tcW w:w="0" w:type="auto"/>
          </w:tcPr>
          <w:p w14:paraId="61FAB536"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Decay Class 5</w:t>
            </w:r>
          </w:p>
        </w:tc>
      </w:tr>
      <w:tr w:rsidR="00FA50EA" w:rsidRPr="00D55FAB" w14:paraId="48A77978" w14:textId="77777777" w:rsidTr="004D60F8">
        <w:tc>
          <w:tcPr>
            <w:tcW w:w="0" w:type="auto"/>
          </w:tcPr>
          <w:p w14:paraId="22FB0A80"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Abies</w:t>
            </w:r>
          </w:p>
        </w:tc>
        <w:tc>
          <w:tcPr>
            <w:tcW w:w="0" w:type="auto"/>
          </w:tcPr>
          <w:p w14:paraId="13CE86FA"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343</w:t>
            </w:r>
          </w:p>
        </w:tc>
        <w:tc>
          <w:tcPr>
            <w:tcW w:w="0" w:type="auto"/>
          </w:tcPr>
          <w:p w14:paraId="751CDA51"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305</w:t>
            </w:r>
          </w:p>
        </w:tc>
        <w:tc>
          <w:tcPr>
            <w:tcW w:w="0" w:type="auto"/>
          </w:tcPr>
          <w:p w14:paraId="6EF049C9"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247</w:t>
            </w:r>
          </w:p>
        </w:tc>
        <w:tc>
          <w:tcPr>
            <w:tcW w:w="0" w:type="auto"/>
          </w:tcPr>
          <w:p w14:paraId="134BA7A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174</w:t>
            </w:r>
          </w:p>
        </w:tc>
        <w:tc>
          <w:tcPr>
            <w:tcW w:w="0" w:type="auto"/>
          </w:tcPr>
          <w:p w14:paraId="586C2A81"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149</w:t>
            </w:r>
          </w:p>
        </w:tc>
      </w:tr>
      <w:tr w:rsidR="00FA50EA" w:rsidRPr="00D55FAB" w14:paraId="7AEA5073" w14:textId="77777777" w:rsidTr="004D60F8">
        <w:tc>
          <w:tcPr>
            <w:tcW w:w="0" w:type="auto"/>
          </w:tcPr>
          <w:p w14:paraId="5BEBCBEE"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Alnus</w:t>
            </w:r>
          </w:p>
        </w:tc>
        <w:tc>
          <w:tcPr>
            <w:tcW w:w="0" w:type="auto"/>
          </w:tcPr>
          <w:p w14:paraId="7FFB5368"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422</w:t>
            </w:r>
          </w:p>
        </w:tc>
        <w:tc>
          <w:tcPr>
            <w:tcW w:w="0" w:type="auto"/>
          </w:tcPr>
          <w:p w14:paraId="67BBB6D6"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359</w:t>
            </w:r>
          </w:p>
        </w:tc>
        <w:tc>
          <w:tcPr>
            <w:tcW w:w="0" w:type="auto"/>
          </w:tcPr>
          <w:p w14:paraId="27622BE6"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286</w:t>
            </w:r>
          </w:p>
        </w:tc>
        <w:tc>
          <w:tcPr>
            <w:tcW w:w="0" w:type="auto"/>
          </w:tcPr>
          <w:p w14:paraId="7C3AEF91"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197</w:t>
            </w:r>
          </w:p>
        </w:tc>
        <w:tc>
          <w:tcPr>
            <w:tcW w:w="0" w:type="auto"/>
          </w:tcPr>
          <w:p w14:paraId="7C0585C8"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120</w:t>
            </w:r>
          </w:p>
        </w:tc>
      </w:tr>
      <w:tr w:rsidR="00FA50EA" w:rsidRPr="00D55FAB" w14:paraId="76D194BE" w14:textId="77777777" w:rsidTr="004D60F8">
        <w:tc>
          <w:tcPr>
            <w:tcW w:w="0" w:type="auto"/>
          </w:tcPr>
          <w:p w14:paraId="0A1D434B"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Deciduous</w:t>
            </w:r>
          </w:p>
        </w:tc>
        <w:tc>
          <w:tcPr>
            <w:tcW w:w="0" w:type="auto"/>
          </w:tcPr>
          <w:p w14:paraId="1FAB3CEF"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523</w:t>
            </w:r>
          </w:p>
        </w:tc>
        <w:tc>
          <w:tcPr>
            <w:tcW w:w="0" w:type="auto"/>
          </w:tcPr>
          <w:p w14:paraId="074D6881"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442</w:t>
            </w:r>
          </w:p>
        </w:tc>
        <w:tc>
          <w:tcPr>
            <w:tcW w:w="0" w:type="auto"/>
          </w:tcPr>
          <w:p w14:paraId="3FAEE1DF"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345</w:t>
            </w:r>
          </w:p>
        </w:tc>
        <w:tc>
          <w:tcPr>
            <w:tcW w:w="0" w:type="auto"/>
          </w:tcPr>
          <w:p w14:paraId="331C0D04"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241</w:t>
            </w:r>
          </w:p>
        </w:tc>
        <w:tc>
          <w:tcPr>
            <w:tcW w:w="0" w:type="auto"/>
          </w:tcPr>
          <w:p w14:paraId="562C2699"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152</w:t>
            </w:r>
          </w:p>
        </w:tc>
      </w:tr>
      <w:tr w:rsidR="00FA50EA" w:rsidRPr="00D55FAB" w14:paraId="5B5D5BC1" w14:textId="77777777" w:rsidTr="004D60F8">
        <w:tc>
          <w:tcPr>
            <w:tcW w:w="0" w:type="auto"/>
          </w:tcPr>
          <w:p w14:paraId="61444312"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Carpinus</w:t>
            </w:r>
          </w:p>
        </w:tc>
        <w:tc>
          <w:tcPr>
            <w:tcW w:w="0" w:type="auto"/>
          </w:tcPr>
          <w:p w14:paraId="12CDE1B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428</w:t>
            </w:r>
          </w:p>
        </w:tc>
        <w:tc>
          <w:tcPr>
            <w:tcW w:w="0" w:type="auto"/>
          </w:tcPr>
          <w:p w14:paraId="7F5994C0"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392</w:t>
            </w:r>
          </w:p>
        </w:tc>
        <w:tc>
          <w:tcPr>
            <w:tcW w:w="0" w:type="auto"/>
          </w:tcPr>
          <w:p w14:paraId="2AAC9771"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336</w:t>
            </w:r>
          </w:p>
        </w:tc>
        <w:tc>
          <w:tcPr>
            <w:tcW w:w="0" w:type="auto"/>
          </w:tcPr>
          <w:p w14:paraId="3A3A901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211</w:t>
            </w:r>
          </w:p>
        </w:tc>
        <w:tc>
          <w:tcPr>
            <w:tcW w:w="0" w:type="auto"/>
          </w:tcPr>
          <w:p w14:paraId="73B755A4"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140</w:t>
            </w:r>
          </w:p>
        </w:tc>
      </w:tr>
      <w:tr w:rsidR="00FA50EA" w:rsidRPr="00D55FAB" w14:paraId="28487D86" w14:textId="77777777" w:rsidTr="004D60F8">
        <w:tc>
          <w:tcPr>
            <w:tcW w:w="0" w:type="auto"/>
          </w:tcPr>
          <w:p w14:paraId="2795D99A"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Conifer</w:t>
            </w:r>
          </w:p>
        </w:tc>
        <w:tc>
          <w:tcPr>
            <w:tcW w:w="0" w:type="auto"/>
          </w:tcPr>
          <w:p w14:paraId="3AC99E4B"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374</w:t>
            </w:r>
          </w:p>
        </w:tc>
        <w:tc>
          <w:tcPr>
            <w:tcW w:w="0" w:type="auto"/>
          </w:tcPr>
          <w:p w14:paraId="63CA89A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334</w:t>
            </w:r>
          </w:p>
        </w:tc>
        <w:tc>
          <w:tcPr>
            <w:tcW w:w="0" w:type="auto"/>
          </w:tcPr>
          <w:p w14:paraId="6C1070EF"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271</w:t>
            </w:r>
          </w:p>
        </w:tc>
        <w:tc>
          <w:tcPr>
            <w:tcW w:w="0" w:type="auto"/>
          </w:tcPr>
          <w:p w14:paraId="4DC97EC7"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198</w:t>
            </w:r>
          </w:p>
        </w:tc>
        <w:tc>
          <w:tcPr>
            <w:tcW w:w="0" w:type="auto"/>
          </w:tcPr>
          <w:p w14:paraId="46117F2B"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160</w:t>
            </w:r>
          </w:p>
        </w:tc>
      </w:tr>
      <w:tr w:rsidR="00FA50EA" w:rsidRPr="00D55FAB" w14:paraId="746C6223" w14:textId="77777777" w:rsidTr="004D60F8">
        <w:tc>
          <w:tcPr>
            <w:tcW w:w="0" w:type="auto"/>
          </w:tcPr>
          <w:p w14:paraId="00043C8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Fagus</w:t>
            </w:r>
          </w:p>
        </w:tc>
        <w:tc>
          <w:tcPr>
            <w:tcW w:w="0" w:type="auto"/>
          </w:tcPr>
          <w:p w14:paraId="3D93898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520</w:t>
            </w:r>
          </w:p>
        </w:tc>
        <w:tc>
          <w:tcPr>
            <w:tcW w:w="0" w:type="auto"/>
          </w:tcPr>
          <w:p w14:paraId="60108CA9"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379</w:t>
            </w:r>
          </w:p>
        </w:tc>
        <w:tc>
          <w:tcPr>
            <w:tcW w:w="0" w:type="auto"/>
          </w:tcPr>
          <w:p w14:paraId="75F11E10"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261</w:t>
            </w:r>
          </w:p>
        </w:tc>
        <w:tc>
          <w:tcPr>
            <w:tcW w:w="0" w:type="auto"/>
          </w:tcPr>
          <w:p w14:paraId="3E1B3084"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229</w:t>
            </w:r>
          </w:p>
        </w:tc>
        <w:tc>
          <w:tcPr>
            <w:tcW w:w="0" w:type="auto"/>
          </w:tcPr>
          <w:p w14:paraId="34211697"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220</w:t>
            </w:r>
          </w:p>
        </w:tc>
      </w:tr>
      <w:tr w:rsidR="00FA50EA" w:rsidRPr="00D55FAB" w14:paraId="48ADCA6E" w14:textId="77777777" w:rsidTr="004D60F8">
        <w:tc>
          <w:tcPr>
            <w:tcW w:w="0" w:type="auto"/>
          </w:tcPr>
          <w:p w14:paraId="7CFDDD42"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Fraxinus</w:t>
            </w:r>
          </w:p>
        </w:tc>
        <w:tc>
          <w:tcPr>
            <w:tcW w:w="0" w:type="auto"/>
          </w:tcPr>
          <w:p w14:paraId="321E399E"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452</w:t>
            </w:r>
          </w:p>
        </w:tc>
        <w:tc>
          <w:tcPr>
            <w:tcW w:w="0" w:type="auto"/>
          </w:tcPr>
          <w:p w14:paraId="4C9539FD"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403</w:t>
            </w:r>
          </w:p>
        </w:tc>
        <w:tc>
          <w:tcPr>
            <w:tcW w:w="0" w:type="auto"/>
          </w:tcPr>
          <w:p w14:paraId="13DE85B7"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392</w:t>
            </w:r>
          </w:p>
        </w:tc>
        <w:tc>
          <w:tcPr>
            <w:tcW w:w="0" w:type="auto"/>
          </w:tcPr>
          <w:p w14:paraId="5ABC790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227</w:t>
            </w:r>
          </w:p>
        </w:tc>
        <w:tc>
          <w:tcPr>
            <w:tcW w:w="0" w:type="auto"/>
          </w:tcPr>
          <w:p w14:paraId="0B7CAAB6"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151</w:t>
            </w:r>
          </w:p>
        </w:tc>
      </w:tr>
      <w:tr w:rsidR="00FA50EA" w:rsidRPr="00D55FAB" w14:paraId="1F3437A7" w14:textId="77777777" w:rsidTr="004D60F8">
        <w:tc>
          <w:tcPr>
            <w:tcW w:w="0" w:type="auto"/>
          </w:tcPr>
          <w:p w14:paraId="4E3BAE49"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Picea</w:t>
            </w:r>
          </w:p>
        </w:tc>
        <w:tc>
          <w:tcPr>
            <w:tcW w:w="0" w:type="auto"/>
          </w:tcPr>
          <w:p w14:paraId="6299F591"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381</w:t>
            </w:r>
          </w:p>
        </w:tc>
        <w:tc>
          <w:tcPr>
            <w:tcW w:w="0" w:type="auto"/>
          </w:tcPr>
          <w:p w14:paraId="476EADB7"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340</w:t>
            </w:r>
          </w:p>
        </w:tc>
        <w:tc>
          <w:tcPr>
            <w:tcW w:w="0" w:type="auto"/>
          </w:tcPr>
          <w:p w14:paraId="7C0B30D9"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270</w:t>
            </w:r>
          </w:p>
        </w:tc>
        <w:tc>
          <w:tcPr>
            <w:tcW w:w="0" w:type="auto"/>
          </w:tcPr>
          <w:p w14:paraId="545E0033"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190</w:t>
            </w:r>
          </w:p>
        </w:tc>
        <w:tc>
          <w:tcPr>
            <w:tcW w:w="0" w:type="auto"/>
          </w:tcPr>
          <w:p w14:paraId="353A78A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157</w:t>
            </w:r>
          </w:p>
        </w:tc>
      </w:tr>
      <w:tr w:rsidR="00FA50EA" w:rsidRPr="00D55FAB" w14:paraId="341A28B0" w14:textId="77777777" w:rsidTr="004D60F8">
        <w:tc>
          <w:tcPr>
            <w:tcW w:w="0" w:type="auto"/>
          </w:tcPr>
          <w:p w14:paraId="3147BAFD"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Pinus</w:t>
            </w:r>
          </w:p>
        </w:tc>
        <w:tc>
          <w:tcPr>
            <w:tcW w:w="0" w:type="auto"/>
          </w:tcPr>
          <w:p w14:paraId="27DD5407"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379</w:t>
            </w:r>
          </w:p>
        </w:tc>
        <w:tc>
          <w:tcPr>
            <w:tcW w:w="0" w:type="auto"/>
          </w:tcPr>
          <w:p w14:paraId="70ED5B65"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334</w:t>
            </w:r>
          </w:p>
        </w:tc>
        <w:tc>
          <w:tcPr>
            <w:tcW w:w="0" w:type="auto"/>
          </w:tcPr>
          <w:p w14:paraId="5CD81D23"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277</w:t>
            </w:r>
          </w:p>
        </w:tc>
        <w:tc>
          <w:tcPr>
            <w:tcW w:w="0" w:type="auto"/>
          </w:tcPr>
          <w:p w14:paraId="69E2B3D6"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214</w:t>
            </w:r>
          </w:p>
        </w:tc>
        <w:tc>
          <w:tcPr>
            <w:tcW w:w="0" w:type="auto"/>
          </w:tcPr>
          <w:p w14:paraId="3919F6B4"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165</w:t>
            </w:r>
          </w:p>
        </w:tc>
      </w:tr>
      <w:tr w:rsidR="00FA50EA" w:rsidRPr="00D55FAB" w14:paraId="58CC6B03" w14:textId="77777777" w:rsidTr="004D60F8">
        <w:tc>
          <w:tcPr>
            <w:tcW w:w="0" w:type="auto"/>
          </w:tcPr>
          <w:p w14:paraId="6A97C4D9"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Quercus</w:t>
            </w:r>
          </w:p>
        </w:tc>
        <w:tc>
          <w:tcPr>
            <w:tcW w:w="0" w:type="auto"/>
          </w:tcPr>
          <w:p w14:paraId="5B679BA9"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614</w:t>
            </w:r>
          </w:p>
        </w:tc>
        <w:tc>
          <w:tcPr>
            <w:tcW w:w="0" w:type="auto"/>
          </w:tcPr>
          <w:p w14:paraId="30CB92A3"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518</w:t>
            </w:r>
          </w:p>
        </w:tc>
        <w:tc>
          <w:tcPr>
            <w:tcW w:w="0" w:type="auto"/>
          </w:tcPr>
          <w:p w14:paraId="0CC554CE"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397</w:t>
            </w:r>
          </w:p>
        </w:tc>
        <w:tc>
          <w:tcPr>
            <w:tcW w:w="0" w:type="auto"/>
          </w:tcPr>
          <w:p w14:paraId="0953114C"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300</w:t>
            </w:r>
          </w:p>
        </w:tc>
        <w:tc>
          <w:tcPr>
            <w:tcW w:w="0" w:type="auto"/>
          </w:tcPr>
          <w:p w14:paraId="52CB3566" w14:textId="77777777" w:rsidR="00FA50EA" w:rsidRPr="00D55FAB" w:rsidRDefault="00FA50EA" w:rsidP="004D60F8">
            <w:pPr>
              <w:pStyle w:val="Compact"/>
              <w:jc w:val="center"/>
              <w:rPr>
                <w:rFonts w:ascii="Times New Roman" w:hAnsi="Times New Roman" w:cs="Times New Roman"/>
                <w:sz w:val="18"/>
                <w:szCs w:val="18"/>
              </w:rPr>
            </w:pPr>
            <w:r w:rsidRPr="00D55FAB">
              <w:rPr>
                <w:rFonts w:ascii="Times New Roman" w:hAnsi="Times New Roman" w:cs="Times New Roman"/>
                <w:sz w:val="18"/>
                <w:szCs w:val="18"/>
              </w:rPr>
              <w:t>195</w:t>
            </w:r>
          </w:p>
        </w:tc>
      </w:tr>
    </w:tbl>
    <w:p w14:paraId="35322D94" w14:textId="77777777" w:rsidR="00FA50EA" w:rsidRDefault="00FA50EA" w:rsidP="00FA50EA">
      <w:pPr>
        <w:jc w:val="both"/>
      </w:pPr>
    </w:p>
    <w:p w14:paraId="610B5849" w14:textId="77777777" w:rsidR="00FA50EA" w:rsidRDefault="00FA50EA" w:rsidP="00FA50EA">
      <w:pPr>
        <w:jc w:val="both"/>
      </w:pPr>
    </w:p>
    <w:p w14:paraId="0B46DA57" w14:textId="77777777" w:rsidR="00FA50EA" w:rsidRPr="00D55FAB" w:rsidRDefault="00FA50EA" w:rsidP="00FA50EA">
      <w:pPr>
        <w:jc w:val="both"/>
      </w:pPr>
      <w:r w:rsidRPr="00D55FAB">
        <w:t xml:space="preserve">After I created the decay classes based on experimental data in </w:t>
      </w:r>
      <m:oMath>
        <m:r>
          <m:rPr>
            <m:nor/>
          </m:rPr>
          <w:rPr>
            <w:rFonts w:ascii="Times New Roman" w:hAnsi="Times New Roman" w:cs="Times New Roman"/>
          </w:rPr>
          <m:t>kg</m:t>
        </m:r>
        <m:r>
          <m:rPr>
            <m:sty m:val="p"/>
          </m:rPr>
          <w:rPr>
            <w:rFonts w:ascii="Cambria Math" w:hAnsi="Cambria Math" w:cs="Times New Roman"/>
          </w:rPr>
          <m:t>⋅</m:t>
        </m:r>
        <m:sSup>
          <m:sSupPr>
            <m:ctrlPr>
              <w:rPr>
                <w:rFonts w:ascii="Cambria Math" w:hAnsi="Cambria Math" w:cs="Times New Roman"/>
              </w:rPr>
            </m:ctrlPr>
          </m:sSupPr>
          <m:e>
            <m:r>
              <m:rPr>
                <m:nor/>
              </m:rPr>
              <w:rPr>
                <w:rFonts w:ascii="Times New Roman" w:hAnsi="Times New Roman" w:cs="Times New Roman"/>
              </w:rPr>
              <m:t>m</m:t>
            </m:r>
          </m:e>
          <m:sup>
            <m:r>
              <m:rPr>
                <m:sty m:val="p"/>
              </m:rPr>
              <w:rPr>
                <w:rFonts w:ascii="Cambria Math" w:hAnsi="Cambria Math" w:cs="Times New Roman"/>
              </w:rPr>
              <m:t>-</m:t>
            </m:r>
            <m:r>
              <w:rPr>
                <w:rFonts w:ascii="Cambria Math" w:hAnsi="Cambria Math" w:cs="Times New Roman"/>
              </w:rPr>
              <m:t>3</m:t>
            </m:r>
          </m:sup>
        </m:sSup>
      </m:oMath>
      <w:r>
        <w:rPr>
          <w:rFonts w:ascii="Times New Roman" w:hAnsi="Times New Roman" w:cs="Times New Roman"/>
        </w:rPr>
        <w:t xml:space="preserve">, we needed to merge consistently our metadata with the plot tree table including all single tree measures and parameters in every plot and deadwood structure sampling of the plots. Here we assigned at every tree species we have along the 98 plots a corresponding Genus or forest functional type.   </w:t>
      </w:r>
    </w:p>
    <w:p w14:paraId="3832EBB6" w14:textId="77777777" w:rsidR="00FA50EA" w:rsidRDefault="00FA50EA" w:rsidP="00FA50EA">
      <w:pPr>
        <w:jc w:val="both"/>
      </w:pPr>
      <w:r w:rsidRPr="00C21537">
        <w:t xml:space="preserve">Look at the species proportion per plot to assign a classification to those </w:t>
      </w:r>
      <w:r>
        <w:t>pieces</w:t>
      </w:r>
      <w:r w:rsidRPr="00C21537">
        <w:t xml:space="preserve"> of wood not classified. Here</w:t>
      </w:r>
      <w:r>
        <w:t>,</w:t>
      </w:r>
      <w:r w:rsidRPr="00C21537">
        <w:t xml:space="preserve"> I decided to assign it </w:t>
      </w:r>
      <w:r>
        <w:t>to</w:t>
      </w:r>
      <w:r w:rsidRPr="00C21537">
        <w:t xml:space="preserve"> the </w:t>
      </w:r>
      <w:r>
        <w:t>plot's</w:t>
      </w:r>
      <w:r w:rsidRPr="00C21537">
        <w:t xml:space="preserve"> dominant species</w:t>
      </w:r>
    </w:p>
    <w:p w14:paraId="14897020" w14:textId="77777777" w:rsidR="00FA50EA" w:rsidRDefault="00FA50EA" w:rsidP="00FA50EA">
      <w:pPr>
        <w:jc w:val="both"/>
      </w:pPr>
      <w:r>
        <w:t>-</w:t>
      </w:r>
    </w:p>
    <w:p w14:paraId="779F2847" w14:textId="77777777" w:rsidR="00FA50EA" w:rsidRDefault="00FA50EA" w:rsidP="00FA50EA">
      <w:pPr>
        <w:jc w:val="both"/>
      </w:pPr>
      <w:r>
        <w:t>-</w:t>
      </w:r>
    </w:p>
    <w:p w14:paraId="2FD935E3" w14:textId="77777777" w:rsidR="00FA50EA" w:rsidRDefault="00FA50EA" w:rsidP="00FA50EA">
      <w:pPr>
        <w:jc w:val="both"/>
      </w:pPr>
      <w:r>
        <w:t>-</w:t>
      </w:r>
    </w:p>
    <w:p w14:paraId="3AF51650" w14:textId="77777777" w:rsidR="00FA50EA" w:rsidRDefault="00FA50EA" w:rsidP="00FA50EA">
      <w:pPr>
        <w:jc w:val="both"/>
      </w:pPr>
      <w:r>
        <w:t>-</w:t>
      </w:r>
    </w:p>
    <w:p w14:paraId="6765D486" w14:textId="77777777" w:rsidR="00FA50EA" w:rsidRDefault="00FA50EA" w:rsidP="00FA50EA">
      <w:pPr>
        <w:jc w:val="both"/>
      </w:pPr>
      <w:r>
        <w:lastRenderedPageBreak/>
        <w:t>-</w:t>
      </w:r>
    </w:p>
    <w:p w14:paraId="4897143C" w14:textId="77777777" w:rsidR="00FA50EA" w:rsidRDefault="00FA50EA" w:rsidP="00FA50EA">
      <w:pPr>
        <w:jc w:val="both"/>
      </w:pPr>
      <w:r>
        <w:t>-</w:t>
      </w:r>
    </w:p>
    <w:p w14:paraId="66F02FCA" w14:textId="77777777" w:rsidR="00FA50EA" w:rsidRDefault="00FA50EA" w:rsidP="00FA50EA">
      <w:pPr>
        <w:jc w:val="both"/>
      </w:pPr>
    </w:p>
    <w:p w14:paraId="27664B1A" w14:textId="77777777" w:rsidR="00FA50EA" w:rsidRDefault="00FA50EA" w:rsidP="00FA50EA">
      <w:pPr>
        <w:jc w:val="both"/>
      </w:pPr>
    </w:p>
    <w:p w14:paraId="1A5BDB72" w14:textId="77777777" w:rsidR="00FA50EA" w:rsidRDefault="00FA50EA" w:rsidP="00FA50EA">
      <w:pPr>
        <w:jc w:val="both"/>
      </w:pPr>
    </w:p>
    <w:p w14:paraId="50FE6454" w14:textId="77777777" w:rsidR="00FA50EA" w:rsidRDefault="00FA50EA" w:rsidP="00FA50EA">
      <w:pPr>
        <w:jc w:val="both"/>
      </w:pPr>
    </w:p>
    <w:p w14:paraId="4A5BC208" w14:textId="77777777" w:rsidR="00FA50EA" w:rsidRPr="008D2766" w:rsidRDefault="00FA50EA" w:rsidP="00FA50EA">
      <w:pPr>
        <w:jc w:val="both"/>
      </w:pPr>
      <w:r w:rsidRPr="008D2766">
        <w:rPr>
          <w:highlight w:val="magenta"/>
        </w:rPr>
        <w:t>Tree species</w:t>
      </w:r>
      <w:r w:rsidRPr="000432BC">
        <w:t xml:space="preserve"> not </w:t>
      </w:r>
      <w:r>
        <w:t>in the table coming from the laboratory analysis (https://doi.org/10.1016/j.foreco.2023.121431) on the deadwood decay stages of every analyzed species are categorized as deciduous or coniferous unless the Genus was shared as in Alnus, Quercus, Pinus, Abies, and Fraxinus. See</w:t>
      </w:r>
      <w:r w:rsidRPr="000432BC">
        <w:t xml:space="preserve"> line 215 tree species conversion</w:t>
      </w:r>
      <w:r>
        <w:t xml:space="preserve"> </w:t>
      </w:r>
      <w:hyperlink r:id="rId14" w:history="1">
        <w:r w:rsidRPr="00361FD0">
          <w:rPr>
            <w:rStyle w:val="Hyperlink"/>
          </w:rPr>
          <w:t>https://github.com/baldomarco/Bottoms-Up/tree/main/STSM/Carbon</w:t>
        </w:r>
      </w:hyperlink>
      <w:r>
        <w:t xml:space="preserve"> .</w:t>
      </w:r>
    </w:p>
    <w:p w14:paraId="3D2F8CBD" w14:textId="77777777" w:rsidR="00FA50EA" w:rsidRDefault="00FA50EA" w:rsidP="00FA50EA"/>
    <w:p w14:paraId="643714B6" w14:textId="77777777" w:rsidR="00FA50EA" w:rsidRPr="000432BC" w:rsidRDefault="00FA50EA" w:rsidP="00FA50EA">
      <w:r w:rsidRPr="00184A1F">
        <w:rPr>
          <w:highlight w:val="green"/>
        </w:rPr>
        <w:t>Input into iLand project file</w:t>
      </w:r>
    </w:p>
    <w:p w14:paraId="30227318" w14:textId="77777777" w:rsidR="00FA50EA" w:rsidRDefault="00FA50EA" w:rsidP="00FA50EA">
      <w:pPr>
        <w:spacing w:before="120" w:after="120"/>
        <w:jc w:val="both"/>
        <w:rPr>
          <w:rFonts w:ascii="Times New Roman" w:hAnsi="Times New Roman" w:cs="Times New Roman"/>
        </w:rPr>
      </w:pPr>
      <w:r>
        <w:rPr>
          <w:rFonts w:ascii="Times New Roman" w:hAnsi="Times New Roman" w:cs="Times New Roman"/>
        </w:rPr>
        <w:t>The main iLand project file input derived from the fieldwork data are:</w:t>
      </w:r>
    </w:p>
    <w:p w14:paraId="34A6258E" w14:textId="77777777" w:rsidR="00FA50EA" w:rsidRDefault="00FA50EA" w:rsidP="00FA50EA">
      <w:pPr>
        <w:spacing w:before="120" w:after="120"/>
        <w:jc w:val="both"/>
        <w:rPr>
          <w:rFonts w:ascii="Times New Roman" w:hAnsi="Times New Roman" w:cs="Times New Roman"/>
        </w:rPr>
      </w:pPr>
      <w:proofErr w:type="spellStart"/>
      <w:r w:rsidRPr="00A27581">
        <w:rPr>
          <w:rFonts w:ascii="Times New Roman" w:hAnsi="Times New Roman" w:cs="Times New Roman"/>
          <w:i/>
          <w:iCs/>
        </w:rPr>
        <w:t>youngRefractoryC</w:t>
      </w:r>
      <w:proofErr w:type="spellEnd"/>
      <w:r>
        <w:rPr>
          <w:rFonts w:ascii="Times New Roman" w:hAnsi="Times New Roman" w:cs="Times New Roman"/>
        </w:rPr>
        <w:t xml:space="preserve">: </w:t>
      </w:r>
      <w:r w:rsidRPr="00A27581">
        <w:rPr>
          <w:rFonts w:ascii="Times New Roman" w:hAnsi="Times New Roman" w:cs="Times New Roman"/>
        </w:rPr>
        <w:t xml:space="preserve">carbon content of </w:t>
      </w:r>
      <w:proofErr w:type="spellStart"/>
      <w:r w:rsidRPr="00A27581">
        <w:rPr>
          <w:rFonts w:ascii="Times New Roman" w:hAnsi="Times New Roman" w:cs="Times New Roman"/>
        </w:rPr>
        <w:t>yrC</w:t>
      </w:r>
      <w:proofErr w:type="spellEnd"/>
      <w:r w:rsidRPr="00A27581">
        <w:rPr>
          <w:rFonts w:ascii="Times New Roman" w:hAnsi="Times New Roman" w:cs="Times New Roman"/>
        </w:rPr>
        <w:t xml:space="preserve"> (woody) aboveground carbon pool (kg/ha) we have real values logging residuals, branches, logs</w:t>
      </w:r>
      <w:r>
        <w:rPr>
          <w:rFonts w:ascii="Times New Roman" w:hAnsi="Times New Roman" w:cs="Times New Roman"/>
        </w:rPr>
        <w:t>.</w:t>
      </w:r>
    </w:p>
    <w:p w14:paraId="64FB7726" w14:textId="77777777" w:rsidR="00FA50EA" w:rsidRPr="00A27581" w:rsidRDefault="00FA50EA" w:rsidP="00FA50EA">
      <w:pPr>
        <w:spacing w:before="120" w:after="120"/>
        <w:jc w:val="both"/>
        <w:rPr>
          <w:rFonts w:ascii="Times New Roman" w:hAnsi="Times New Roman" w:cs="Times New Roman"/>
          <w:b/>
          <w:bCs/>
        </w:rPr>
      </w:pPr>
      <w:proofErr w:type="spellStart"/>
      <w:r w:rsidRPr="00A27581">
        <w:rPr>
          <w:rFonts w:ascii="Times New Roman" w:hAnsi="Times New Roman" w:cs="Times New Roman"/>
          <w:i/>
          <w:iCs/>
        </w:rPr>
        <w:t>swdC</w:t>
      </w:r>
      <w:proofErr w:type="spellEnd"/>
      <w:r>
        <w:rPr>
          <w:rFonts w:ascii="Times New Roman" w:hAnsi="Times New Roman" w:cs="Times New Roman"/>
          <w:b/>
          <w:bCs/>
        </w:rPr>
        <w:t xml:space="preserve">: </w:t>
      </w:r>
      <w:r w:rsidRPr="00A27581">
        <w:rPr>
          <w:rFonts w:ascii="Times New Roman" w:hAnsi="Times New Roman" w:cs="Times New Roman"/>
        </w:rPr>
        <w:t>initial carbon content in (standing) snags (kg/ha) we have standing dead wood and stumps or snags, also this value it is x4</w:t>
      </w:r>
    </w:p>
    <w:p w14:paraId="1E16E059" w14:textId="77777777" w:rsidR="00FA50EA" w:rsidRDefault="00FA50EA" w:rsidP="00FA50EA">
      <w:pPr>
        <w:spacing w:before="120" w:after="120"/>
        <w:jc w:val="both"/>
        <w:rPr>
          <w:rFonts w:ascii="Times New Roman" w:hAnsi="Times New Roman" w:cs="Times New Roman"/>
        </w:rPr>
      </w:pPr>
      <w:proofErr w:type="spellStart"/>
      <w:r w:rsidRPr="00A27581">
        <w:rPr>
          <w:rFonts w:ascii="Times New Roman" w:hAnsi="Times New Roman" w:cs="Times New Roman"/>
          <w:i/>
          <w:iCs/>
        </w:rPr>
        <w:t>swdCount</w:t>
      </w:r>
      <w:proofErr w:type="spellEnd"/>
      <w:r w:rsidRPr="00A27581">
        <w:rPr>
          <w:rFonts w:ascii="Times New Roman" w:hAnsi="Times New Roman" w:cs="Times New Roman"/>
          <w:i/>
          <w:iCs/>
        </w:rPr>
        <w:t>:</w:t>
      </w:r>
      <w:r>
        <w:rPr>
          <w:rFonts w:ascii="Times New Roman" w:hAnsi="Times New Roman" w:cs="Times New Roman"/>
        </w:rPr>
        <w:t xml:space="preserve"> </w:t>
      </w:r>
      <w:r w:rsidRPr="00A27581">
        <w:rPr>
          <w:rFonts w:ascii="Times New Roman" w:hAnsi="Times New Roman" w:cs="Times New Roman"/>
        </w:rPr>
        <w:t xml:space="preserve">number of snags we </w:t>
      </w:r>
      <w:proofErr w:type="gramStart"/>
      <w:r w:rsidRPr="00A27581">
        <w:rPr>
          <w:rFonts w:ascii="Times New Roman" w:hAnsi="Times New Roman" w:cs="Times New Roman"/>
        </w:rPr>
        <w:t>have</w:t>
      </w:r>
      <w:proofErr w:type="gramEnd"/>
      <w:r w:rsidRPr="00A27581">
        <w:rPr>
          <w:rFonts w:ascii="Times New Roman" w:hAnsi="Times New Roman" w:cs="Times New Roman"/>
        </w:rPr>
        <w:t xml:space="preserve"> and I put also </w:t>
      </w:r>
      <w:proofErr w:type="gramStart"/>
      <w:r w:rsidRPr="00A27581">
        <w:rPr>
          <w:rFonts w:ascii="Times New Roman" w:hAnsi="Times New Roman" w:cs="Times New Roman"/>
        </w:rPr>
        <w:t>the stumps</w:t>
      </w:r>
      <w:proofErr w:type="gramEnd"/>
      <w:r w:rsidRPr="00A27581">
        <w:rPr>
          <w:rFonts w:ascii="Times New Roman" w:hAnsi="Times New Roman" w:cs="Times New Roman"/>
        </w:rPr>
        <w:t xml:space="preserve"> per ha. In the case of BDV plot exp from CZ data </w:t>
      </w:r>
      <w:proofErr w:type="spellStart"/>
      <w:r w:rsidRPr="00A27581">
        <w:rPr>
          <w:rFonts w:ascii="Times New Roman" w:hAnsi="Times New Roman" w:cs="Times New Roman"/>
        </w:rPr>
        <w:t>BottomsUp</w:t>
      </w:r>
      <w:proofErr w:type="spellEnd"/>
      <w:r w:rsidRPr="00A27581">
        <w:rPr>
          <w:rFonts w:ascii="Times New Roman" w:hAnsi="Times New Roman" w:cs="Times New Roman"/>
        </w:rPr>
        <w:t xml:space="preserve"> needs to be x4 because normalized per ha we have 1/4ha plots</w:t>
      </w:r>
    </w:p>
    <w:p w14:paraId="6EA96D40" w14:textId="77777777" w:rsidR="00FA50EA" w:rsidRDefault="00FA50EA" w:rsidP="00FA50EA">
      <w:pPr>
        <w:spacing w:before="120" w:after="120"/>
        <w:jc w:val="both"/>
        <w:rPr>
          <w:rFonts w:ascii="Times New Roman" w:hAnsi="Times New Roman" w:cs="Times New Roman"/>
        </w:rPr>
      </w:pPr>
      <w:proofErr w:type="spellStart"/>
      <w:r w:rsidRPr="00A27581">
        <w:rPr>
          <w:rFonts w:ascii="Times New Roman" w:hAnsi="Times New Roman" w:cs="Times New Roman"/>
          <w:i/>
          <w:iCs/>
        </w:rPr>
        <w:t>otherC</w:t>
      </w:r>
      <w:proofErr w:type="spellEnd"/>
      <w:r>
        <w:rPr>
          <w:rFonts w:ascii="Times New Roman" w:hAnsi="Times New Roman" w:cs="Times New Roman"/>
          <w:i/>
          <w:iCs/>
        </w:rPr>
        <w:t xml:space="preserve">: </w:t>
      </w:r>
      <w:r w:rsidRPr="00A27581">
        <w:rPr>
          <w:rFonts w:ascii="Times New Roman" w:hAnsi="Times New Roman" w:cs="Times New Roman"/>
        </w:rPr>
        <w:t xml:space="preserve">initial carbon content in the pools for other wood (i.e. branches and coarse roots). (kg/ha.). This content is split up into </w:t>
      </w:r>
      <w:proofErr w:type="gramStart"/>
      <w:r w:rsidRPr="00A27581">
        <w:rPr>
          <w:rFonts w:ascii="Times New Roman" w:hAnsi="Times New Roman" w:cs="Times New Roman"/>
        </w:rPr>
        <w:t>the five</w:t>
      </w:r>
      <w:proofErr w:type="gramEnd"/>
      <w:r w:rsidRPr="00A27581">
        <w:rPr>
          <w:rFonts w:ascii="Times New Roman" w:hAnsi="Times New Roman" w:cs="Times New Roman"/>
        </w:rPr>
        <w:t xml:space="preserve"> parts. </w:t>
      </w:r>
      <w:proofErr w:type="spellStart"/>
      <w:r w:rsidRPr="00A27581">
        <w:rPr>
          <w:rFonts w:ascii="Times New Roman" w:hAnsi="Times New Roman" w:cs="Times New Roman"/>
        </w:rPr>
        <w:t>swdC</w:t>
      </w:r>
      <w:proofErr w:type="spellEnd"/>
      <w:r w:rsidRPr="00A27581">
        <w:rPr>
          <w:rFonts w:ascii="Times New Roman" w:hAnsi="Times New Roman" w:cs="Times New Roman"/>
        </w:rPr>
        <w:t xml:space="preserve"> x </w:t>
      </w:r>
      <w:proofErr w:type="spellStart"/>
      <w:r w:rsidRPr="00A27581">
        <w:rPr>
          <w:rFonts w:ascii="Times New Roman" w:hAnsi="Times New Roman" w:cs="Times New Roman"/>
        </w:rPr>
        <w:t>otherC</w:t>
      </w:r>
      <w:proofErr w:type="spellEnd"/>
      <w:r w:rsidRPr="00A27581">
        <w:rPr>
          <w:rFonts w:ascii="Times New Roman" w:hAnsi="Times New Roman" w:cs="Times New Roman"/>
        </w:rPr>
        <w:t xml:space="preserve"> fraction for the </w:t>
      </w:r>
      <w:proofErr w:type="spellStart"/>
      <w:r w:rsidRPr="00A27581">
        <w:rPr>
          <w:rFonts w:ascii="Times New Roman" w:hAnsi="Times New Roman" w:cs="Times New Roman"/>
        </w:rPr>
        <w:t>otherC</w:t>
      </w:r>
      <w:proofErr w:type="spellEnd"/>
      <w:r w:rsidRPr="00A27581">
        <w:rPr>
          <w:rFonts w:ascii="Times New Roman" w:hAnsi="Times New Roman" w:cs="Times New Roman"/>
        </w:rPr>
        <w:t xml:space="preserve"> pool. need to add 30 (branches) or 60% (branches + course roots) more</w:t>
      </w:r>
    </w:p>
    <w:p w14:paraId="74D135EB" w14:textId="77777777" w:rsidR="00FA50EA" w:rsidRDefault="00FA50EA" w:rsidP="00FA50EA">
      <w:pPr>
        <w:spacing w:before="120" w:after="120"/>
        <w:jc w:val="both"/>
        <w:rPr>
          <w:rFonts w:ascii="Times New Roman" w:hAnsi="Times New Roman" w:cs="Times New Roman"/>
        </w:rPr>
      </w:pPr>
    </w:p>
    <w:p w14:paraId="190E7A60" w14:textId="77777777" w:rsidR="00FA50EA" w:rsidRDefault="00FA50EA" w:rsidP="00FA50EA">
      <w:pPr>
        <w:spacing w:before="120" w:after="120"/>
        <w:jc w:val="both"/>
        <w:rPr>
          <w:rFonts w:ascii="Times New Roman" w:hAnsi="Times New Roman" w:cs="Times New Roman"/>
        </w:rPr>
      </w:pPr>
      <w:r>
        <w:rPr>
          <w:rFonts w:ascii="Times New Roman" w:hAnsi="Times New Roman" w:cs="Times New Roman"/>
        </w:rPr>
        <w:t xml:space="preserve">The main outputs we need for the Bayesian analysis related to deadwood </w:t>
      </w:r>
      <w:proofErr w:type="gramStart"/>
      <w:r>
        <w:rPr>
          <w:rFonts w:ascii="Times New Roman" w:hAnsi="Times New Roman" w:cs="Times New Roman"/>
        </w:rPr>
        <w:t>and also</w:t>
      </w:r>
      <w:proofErr w:type="gramEnd"/>
      <w:r>
        <w:rPr>
          <w:rFonts w:ascii="Times New Roman" w:hAnsi="Times New Roman" w:cs="Times New Roman"/>
        </w:rPr>
        <w:t xml:space="preserve"> used indirectly for the deadwood pools </w:t>
      </w:r>
      <w:proofErr w:type="spellStart"/>
      <w:r>
        <w:rPr>
          <w:rFonts w:ascii="Times New Roman" w:hAnsi="Times New Roman" w:cs="Times New Roman"/>
        </w:rPr>
        <w:t>bdv</w:t>
      </w:r>
      <w:proofErr w:type="spellEnd"/>
      <w:r>
        <w:rPr>
          <w:rFonts w:ascii="Times New Roman" w:hAnsi="Times New Roman" w:cs="Times New Roman"/>
        </w:rPr>
        <w:t xml:space="preserve"> prediction column and for initialization of deadwood pools </w:t>
      </w:r>
      <w:proofErr w:type="gramStart"/>
      <w:r>
        <w:rPr>
          <w:rFonts w:ascii="Times New Roman" w:hAnsi="Times New Roman" w:cs="Times New Roman"/>
        </w:rPr>
        <w:t>due</w:t>
      </w:r>
      <w:proofErr w:type="gramEnd"/>
      <w:r>
        <w:rPr>
          <w:rFonts w:ascii="Times New Roman" w:hAnsi="Times New Roman" w:cs="Times New Roman"/>
        </w:rPr>
        <w:t xml:space="preserve"> the discrepancy between the fieldwork deadwood pools values and the model ones:</w:t>
      </w:r>
    </w:p>
    <w:p w14:paraId="5B796E0B" w14:textId="77777777" w:rsidR="00FA50EA" w:rsidRDefault="00FA50EA" w:rsidP="00FA50EA">
      <w:pPr>
        <w:spacing w:before="120" w:after="120"/>
        <w:jc w:val="both"/>
        <w:rPr>
          <w:rFonts w:ascii="Times New Roman" w:hAnsi="Times New Roman" w:cs="Times New Roman"/>
        </w:rPr>
      </w:pPr>
    </w:p>
    <w:p w14:paraId="5C7F8C89" w14:textId="77777777" w:rsidR="00FA50EA" w:rsidRDefault="00FA50EA" w:rsidP="00FA50EA">
      <w:pPr>
        <w:spacing w:before="120" w:after="120"/>
        <w:jc w:val="both"/>
        <w:rPr>
          <w:rFonts w:ascii="Times New Roman" w:hAnsi="Times New Roman" w:cs="Times New Roman"/>
        </w:rPr>
      </w:pPr>
      <w:proofErr w:type="spellStart"/>
      <w:r w:rsidRPr="0021257B">
        <w:rPr>
          <w:rFonts w:ascii="Times New Roman" w:hAnsi="Times New Roman" w:cs="Times New Roman"/>
        </w:rPr>
        <w:t>SNAG_sim</w:t>
      </w:r>
      <w:proofErr w:type="spellEnd"/>
      <w:r>
        <w:rPr>
          <w:rFonts w:ascii="Times New Roman" w:hAnsi="Times New Roman" w:cs="Times New Roman"/>
        </w:rPr>
        <w:t xml:space="preserve">: The kg/ha carbon values into the plot snag pool </w:t>
      </w:r>
    </w:p>
    <w:p w14:paraId="243F5D3B" w14:textId="77777777" w:rsidR="00FA50EA" w:rsidRPr="00A27581" w:rsidRDefault="00FA50EA" w:rsidP="00FA50EA">
      <w:pPr>
        <w:spacing w:before="120" w:after="120"/>
        <w:jc w:val="both"/>
        <w:rPr>
          <w:rFonts w:ascii="Times New Roman" w:hAnsi="Times New Roman" w:cs="Times New Roman"/>
        </w:rPr>
      </w:pPr>
      <w:r w:rsidRPr="0021257B">
        <w:rPr>
          <w:rFonts w:ascii="Times New Roman" w:hAnsi="Times New Roman" w:cs="Times New Roman"/>
        </w:rPr>
        <w:t>AG_DW_C</w:t>
      </w:r>
      <w:r>
        <w:rPr>
          <w:rFonts w:ascii="Times New Roman" w:hAnsi="Times New Roman" w:cs="Times New Roman"/>
        </w:rPr>
        <w:t>: The aboveground fraction of the deadwood carbon (</w:t>
      </w:r>
      <w:proofErr w:type="spellStart"/>
      <w:r>
        <w:rPr>
          <w:rFonts w:ascii="Times New Roman" w:hAnsi="Times New Roman" w:cs="Times New Roman"/>
        </w:rPr>
        <w:t>snags+stumps+branches+logs</w:t>
      </w:r>
      <w:proofErr w:type="spellEnd"/>
      <w:r>
        <w:rPr>
          <w:rFonts w:ascii="Times New Roman" w:hAnsi="Times New Roman" w:cs="Times New Roman"/>
        </w:rPr>
        <w:t>)</w:t>
      </w:r>
    </w:p>
    <w:p w14:paraId="2DE864C5" w14:textId="77777777" w:rsidR="00FA50EA" w:rsidRDefault="00FA50EA" w:rsidP="00FA50EA">
      <w:pPr>
        <w:spacing w:before="120" w:after="120"/>
        <w:jc w:val="both"/>
        <w:rPr>
          <w:rFonts w:ascii="Times New Roman" w:hAnsi="Times New Roman" w:cs="Times New Roman"/>
        </w:rPr>
      </w:pPr>
      <w:proofErr w:type="spellStart"/>
      <w:r w:rsidRPr="0021257B">
        <w:rPr>
          <w:rFonts w:ascii="Times New Roman" w:hAnsi="Times New Roman" w:cs="Times New Roman"/>
        </w:rPr>
        <w:t>total_DW_C_sim</w:t>
      </w:r>
      <w:proofErr w:type="spellEnd"/>
      <w:r>
        <w:rPr>
          <w:rFonts w:ascii="Times New Roman" w:hAnsi="Times New Roman" w:cs="Times New Roman"/>
        </w:rPr>
        <w:t>: The whole deadwood carbon amount (AG_DW_C + course roots)</w:t>
      </w:r>
    </w:p>
    <w:p w14:paraId="476EA638" w14:textId="77777777" w:rsidR="00FA50EA" w:rsidRDefault="00FA50EA" w:rsidP="00FA50EA">
      <w:pPr>
        <w:spacing w:before="120" w:after="120"/>
        <w:jc w:val="both"/>
        <w:rPr>
          <w:rFonts w:ascii="Times New Roman" w:hAnsi="Times New Roman" w:cs="Times New Roman"/>
        </w:rPr>
      </w:pPr>
    </w:p>
    <w:p w14:paraId="7AEB8536" w14:textId="77777777" w:rsidR="00FA50EA" w:rsidRDefault="00FA50EA" w:rsidP="00FA50EA">
      <w:pPr>
        <w:spacing w:before="120" w:after="120"/>
        <w:jc w:val="both"/>
        <w:rPr>
          <w:rFonts w:ascii="Times New Roman" w:hAnsi="Times New Roman" w:cs="Times New Roman"/>
        </w:rPr>
      </w:pPr>
      <w:r>
        <w:rPr>
          <w:rFonts w:ascii="Times New Roman" w:hAnsi="Times New Roman" w:cs="Times New Roman"/>
        </w:rPr>
        <w:t>An example of the plot L6_06 calculation:</w:t>
      </w:r>
    </w:p>
    <w:p w14:paraId="386264C6" w14:textId="77777777" w:rsidR="00FA50EA" w:rsidRDefault="00FA50EA" w:rsidP="00FA50EA">
      <w:pPr>
        <w:jc w:val="both"/>
        <w:rPr>
          <w:rFonts w:ascii="Calibri" w:eastAsia="Times New Roman" w:hAnsi="Calibri" w:cs="Calibri"/>
          <w:color w:val="000000"/>
        </w:rPr>
      </w:pPr>
      <w:proofErr w:type="spellStart"/>
      <w:proofErr w:type="gramStart"/>
      <w:r>
        <w:rPr>
          <w:rFonts w:ascii="Times New Roman" w:hAnsi="Times New Roman" w:cs="Times New Roman"/>
        </w:rPr>
        <w:t>swdC</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SNAG_sim</w:t>
      </w:r>
      <w:proofErr w:type="spellEnd"/>
      <w:r>
        <w:rPr>
          <w:rFonts w:ascii="Times New Roman" w:hAnsi="Times New Roman" w:cs="Times New Roman"/>
        </w:rPr>
        <w:t xml:space="preserve"> = </w:t>
      </w:r>
      <w:r w:rsidRPr="00932751">
        <w:rPr>
          <w:rFonts w:ascii="Calibri" w:eastAsia="Times New Roman" w:hAnsi="Calibri" w:cs="Calibri"/>
          <w:color w:val="000000"/>
        </w:rPr>
        <w:t>277869.714</w:t>
      </w:r>
      <w:r>
        <w:rPr>
          <w:rFonts w:ascii="Calibri" w:eastAsia="Times New Roman" w:hAnsi="Calibri" w:cs="Calibri"/>
          <w:color w:val="000000"/>
        </w:rPr>
        <w:t xml:space="preserve"> </w:t>
      </w:r>
    </w:p>
    <w:p w14:paraId="31C0D905" w14:textId="77777777" w:rsidR="00FA50EA" w:rsidRPr="00932751" w:rsidRDefault="00FA50EA" w:rsidP="00FA50EA">
      <w:pPr>
        <w:jc w:val="both"/>
        <w:rPr>
          <w:rFonts w:ascii="Calibri" w:eastAsia="Times New Roman" w:hAnsi="Calibri" w:cs="Calibri"/>
          <w:color w:val="000000"/>
        </w:rPr>
      </w:pPr>
      <w:proofErr w:type="spellStart"/>
      <w:proofErr w:type="gramStart"/>
      <w:r w:rsidRPr="00A27581">
        <w:rPr>
          <w:rFonts w:ascii="Times New Roman" w:hAnsi="Times New Roman" w:cs="Times New Roman"/>
          <w:i/>
          <w:iCs/>
        </w:rPr>
        <w:lastRenderedPageBreak/>
        <w:t>otherC</w:t>
      </w:r>
      <w:proofErr w:type="spellEnd"/>
      <w:r w:rsidRPr="00932751">
        <w:rPr>
          <w:rFonts w:ascii="Calibri" w:eastAsia="Times New Roman" w:hAnsi="Calibri" w:cs="Calibri"/>
          <w:color w:val="000000"/>
        </w:rPr>
        <w:t xml:space="preserve"> </w:t>
      </w:r>
      <w:r>
        <w:rPr>
          <w:rFonts w:ascii="Calibri" w:eastAsia="Times New Roman" w:hAnsi="Calibri" w:cs="Calibri"/>
          <w:color w:val="000000"/>
        </w:rPr>
        <w:t xml:space="preserve"> =</w:t>
      </w:r>
      <w:proofErr w:type="gramEnd"/>
      <w:r>
        <w:rPr>
          <w:rFonts w:ascii="Calibri" w:eastAsia="Times New Roman" w:hAnsi="Calibri" w:cs="Calibri"/>
          <w:color w:val="000000"/>
        </w:rPr>
        <w:t xml:space="preserve">  </w:t>
      </w:r>
      <w:proofErr w:type="spellStart"/>
      <w:r>
        <w:rPr>
          <w:rFonts w:ascii="Times New Roman" w:hAnsi="Times New Roman" w:cs="Times New Roman"/>
        </w:rPr>
        <w:t>SNAG_sim</w:t>
      </w:r>
      <w:proofErr w:type="spellEnd"/>
      <w:r>
        <w:rPr>
          <w:rFonts w:ascii="Times New Roman" w:hAnsi="Times New Roman" w:cs="Times New Roman"/>
        </w:rPr>
        <w:t>*0.6 =</w:t>
      </w:r>
      <w:r>
        <w:rPr>
          <w:rFonts w:ascii="Calibri" w:eastAsia="Times New Roman" w:hAnsi="Calibri" w:cs="Calibri"/>
          <w:color w:val="000000"/>
        </w:rPr>
        <w:t xml:space="preserve"> </w:t>
      </w:r>
      <w:r w:rsidRPr="00932751">
        <w:rPr>
          <w:rFonts w:ascii="Calibri" w:eastAsia="Times New Roman" w:hAnsi="Calibri" w:cs="Calibri"/>
          <w:color w:val="000000"/>
        </w:rPr>
        <w:t>166721</w:t>
      </w:r>
    </w:p>
    <w:p w14:paraId="4E526D88" w14:textId="77777777" w:rsidR="00FA50EA" w:rsidRPr="00E97401" w:rsidRDefault="00FA50EA" w:rsidP="00FA50EA">
      <w:pPr>
        <w:jc w:val="both"/>
        <w:rPr>
          <w:rFonts w:ascii="Calibri" w:eastAsia="Times New Roman" w:hAnsi="Calibri" w:cs="Calibri"/>
          <w:color w:val="000000"/>
        </w:rPr>
      </w:pPr>
      <w:proofErr w:type="spellStart"/>
      <w:r w:rsidRPr="00932751">
        <w:rPr>
          <w:rFonts w:ascii="Times New Roman" w:hAnsi="Times New Roman" w:cs="Times New Roman"/>
          <w:i/>
          <w:iCs/>
        </w:rPr>
        <w:t>youngRefractoryC</w:t>
      </w:r>
      <w:proofErr w:type="spellEnd"/>
      <w:r>
        <w:rPr>
          <w:rFonts w:ascii="Times New Roman" w:hAnsi="Times New Roman" w:cs="Times New Roman"/>
        </w:rPr>
        <w:t xml:space="preserve"> = </w:t>
      </w:r>
      <w:proofErr w:type="spellStart"/>
      <w:r w:rsidRPr="0021257B">
        <w:rPr>
          <w:rFonts w:ascii="Times New Roman" w:hAnsi="Times New Roman" w:cs="Times New Roman"/>
        </w:rPr>
        <w:t>total_DW_C_sim</w:t>
      </w:r>
      <w:proofErr w:type="spellEnd"/>
      <w:r w:rsidRPr="00932751">
        <w:rPr>
          <w:rFonts w:ascii="Times New Roman" w:hAnsi="Times New Roman" w:cs="Times New Roman"/>
        </w:rPr>
        <w:t xml:space="preserve"> </w:t>
      </w:r>
      <w:r>
        <w:rPr>
          <w:rFonts w:ascii="Times New Roman" w:hAnsi="Times New Roman" w:cs="Times New Roman"/>
        </w:rPr>
        <w:t>(</w:t>
      </w:r>
      <w:r w:rsidRPr="00E97401">
        <w:rPr>
          <w:rFonts w:ascii="Calibri" w:eastAsia="Times New Roman" w:hAnsi="Calibri" w:cs="Calibri"/>
          <w:color w:val="000000"/>
        </w:rPr>
        <w:t>781915.3618</w:t>
      </w:r>
      <w:r>
        <w:rPr>
          <w:rFonts w:ascii="Times New Roman" w:hAnsi="Times New Roman" w:cs="Times New Roman"/>
        </w:rPr>
        <w:t xml:space="preserve">) - </w:t>
      </w:r>
      <w:proofErr w:type="spellStart"/>
      <w:r>
        <w:rPr>
          <w:rFonts w:ascii="Times New Roman" w:hAnsi="Times New Roman" w:cs="Times New Roman"/>
        </w:rPr>
        <w:t>SNAG_sim</w:t>
      </w:r>
      <w:proofErr w:type="spellEnd"/>
      <w:r>
        <w:rPr>
          <w:rFonts w:ascii="Times New Roman" w:hAnsi="Times New Roman" w:cs="Times New Roman"/>
        </w:rPr>
        <w:t xml:space="preserve"> – </w:t>
      </w:r>
      <w:proofErr w:type="spellStart"/>
      <w:r w:rsidRPr="00A27581">
        <w:rPr>
          <w:rFonts w:ascii="Times New Roman" w:hAnsi="Times New Roman" w:cs="Times New Roman"/>
          <w:i/>
          <w:iCs/>
        </w:rPr>
        <w:t>otherC</w:t>
      </w:r>
      <w:proofErr w:type="spellEnd"/>
      <w:r>
        <w:rPr>
          <w:rFonts w:ascii="Times New Roman" w:hAnsi="Times New Roman" w:cs="Times New Roman"/>
        </w:rPr>
        <w:t xml:space="preserve"> = </w:t>
      </w:r>
      <w:r w:rsidRPr="00932751">
        <w:rPr>
          <w:rFonts w:ascii="Times New Roman" w:hAnsi="Times New Roman" w:cs="Times New Roman"/>
        </w:rPr>
        <w:t>337323.8</w:t>
      </w:r>
    </w:p>
    <w:p w14:paraId="4B40D6A5" w14:textId="77777777" w:rsidR="00FA50EA" w:rsidRDefault="00FA50EA" w:rsidP="00FA50EA">
      <w:pPr>
        <w:jc w:val="center"/>
        <w:rPr>
          <w:rFonts w:ascii="Calibri" w:hAnsi="Calibri" w:cs="Calibri"/>
          <w:i/>
          <w:iCs/>
        </w:rPr>
      </w:pPr>
    </w:p>
    <w:p w14:paraId="1177426C" w14:textId="77777777" w:rsidR="00FA50EA" w:rsidRDefault="00FA50EA" w:rsidP="00FA50EA"/>
    <w:p w14:paraId="273BF1D7" w14:textId="77777777" w:rsidR="00FA50EA" w:rsidRDefault="00FA50EA" w:rsidP="00FA50EA"/>
    <w:p w14:paraId="41B99F52" w14:textId="77777777" w:rsidR="00FA50EA" w:rsidRDefault="00FA50EA" w:rsidP="00FA50EA"/>
    <w:p w14:paraId="0921DAF1" w14:textId="77777777" w:rsidR="00FA50EA" w:rsidRPr="00787698" w:rsidRDefault="00FA50EA" w:rsidP="00FA50EA">
      <w:pPr>
        <w:rPr>
          <w:lang w:val="it-IT"/>
        </w:rPr>
      </w:pPr>
      <w:r w:rsidRPr="00787698">
        <w:rPr>
          <w:lang w:val="it-IT"/>
        </w:rPr>
        <w:t>Literature review:</w:t>
      </w:r>
    </w:p>
    <w:p w14:paraId="72D91455" w14:textId="77777777" w:rsidR="00FA50EA" w:rsidRPr="00787698" w:rsidRDefault="00FA50EA" w:rsidP="00FA50EA">
      <w:pPr>
        <w:rPr>
          <w:lang w:val="it-IT"/>
        </w:rPr>
      </w:pPr>
      <w:hyperlink r:id="rId15" w:history="1">
        <w:r w:rsidRPr="00787698">
          <w:rPr>
            <w:rStyle w:val="Hyperlink"/>
            <w:lang w:val="it-IT"/>
          </w:rPr>
          <w:t>https://www.sciencedirect.com/science</w:t>
        </w:r>
        <w:r w:rsidRPr="00787698">
          <w:rPr>
            <w:rStyle w:val="Hyperlink"/>
            <w:lang w:val="it-IT"/>
          </w:rPr>
          <w:t>/</w:t>
        </w:r>
        <w:r w:rsidRPr="00787698">
          <w:rPr>
            <w:rStyle w:val="Hyperlink"/>
            <w:lang w:val="it-IT"/>
          </w:rPr>
          <w:t>article/pii/S0378112715003655</w:t>
        </w:r>
      </w:hyperlink>
    </w:p>
    <w:p w14:paraId="0CEDF758" w14:textId="77777777" w:rsidR="00FA50EA" w:rsidRPr="00872DE4" w:rsidRDefault="00FA50EA" w:rsidP="00FA50EA">
      <w:r w:rsidRPr="00872DE4">
        <w:t>Certainly, here are some studies that discuss deadwood density and volume in mixed forests:</w:t>
      </w:r>
    </w:p>
    <w:p w14:paraId="2036A531" w14:textId="77777777" w:rsidR="00FA50EA" w:rsidRPr="00872DE4" w:rsidRDefault="00FA50EA" w:rsidP="00FA50EA">
      <w:pPr>
        <w:numPr>
          <w:ilvl w:val="0"/>
          <w:numId w:val="4"/>
        </w:numPr>
        <w:spacing w:after="160" w:line="259" w:lineRule="auto"/>
      </w:pPr>
      <w:r w:rsidRPr="00872DE4">
        <w:rPr>
          <w:b/>
          <w:bCs/>
        </w:rPr>
        <w:t xml:space="preserve">"Dead Wood Basic Density, and the Concentration of Carbon and Nitrogen for Main Tree Species in Managed </w:t>
      </w:r>
      <w:proofErr w:type="spellStart"/>
      <w:r w:rsidRPr="00872DE4">
        <w:rPr>
          <w:b/>
          <w:bCs/>
        </w:rPr>
        <w:t>Hemiboreal</w:t>
      </w:r>
      <w:proofErr w:type="spellEnd"/>
      <w:r w:rsidRPr="00872DE4">
        <w:rPr>
          <w:b/>
          <w:bCs/>
        </w:rPr>
        <w:t xml:space="preserve"> Forests"</w:t>
      </w:r>
      <w:r w:rsidRPr="00872DE4">
        <w:br/>
        <w:t xml:space="preserve">This study examines the basic density of deadwood across various tree species in </w:t>
      </w:r>
      <w:proofErr w:type="spellStart"/>
      <w:r w:rsidRPr="00872DE4">
        <w:t>hemiboreal</w:t>
      </w:r>
      <w:proofErr w:type="spellEnd"/>
      <w:r w:rsidRPr="00872DE4">
        <w:t xml:space="preserve"> forests. The findings indicate significant differences in wood density among species, with values ranging from approximately 300 to 600 kg/m³. </w:t>
      </w:r>
    </w:p>
    <w:p w14:paraId="6B6C0172" w14:textId="77777777" w:rsidR="00FA50EA" w:rsidRDefault="00FA50EA" w:rsidP="00FA50EA">
      <w:hyperlink r:id="rId16" w:history="1">
        <w:r w:rsidRPr="002A4EAF">
          <w:rPr>
            <w:rStyle w:val="Hyperlink"/>
          </w:rPr>
          <w:t>https://www.seefor.eu/vol-15-no-2-d</w:t>
        </w:r>
        <w:r w:rsidRPr="002A4EAF">
          <w:rPr>
            <w:rStyle w:val="Hyperlink"/>
          </w:rPr>
          <w:t>e</w:t>
        </w:r>
        <w:r w:rsidRPr="002A4EAF">
          <w:rPr>
            <w:rStyle w:val="Hyperlink"/>
          </w:rPr>
          <w:t>-meo-et-al-deadwood-diversity-of-boreal-and-sub-boreal-old-growth-forests-in-southern-finland.html</w:t>
        </w:r>
      </w:hyperlink>
    </w:p>
    <w:p w14:paraId="2980588B" w14:textId="77777777" w:rsidR="00FA50EA" w:rsidRPr="00872DE4" w:rsidRDefault="00FA50EA" w:rsidP="00FA50EA">
      <w:pPr>
        <w:numPr>
          <w:ilvl w:val="0"/>
          <w:numId w:val="4"/>
        </w:numPr>
        <w:spacing w:after="160" w:line="259" w:lineRule="auto"/>
      </w:pPr>
      <w:r w:rsidRPr="00872DE4">
        <w:rPr>
          <w:b/>
          <w:bCs/>
        </w:rPr>
        <w:t>"Deadwood Diversity of Boreal and Sub-boreal Old-growth Forests in Southern Finland"</w:t>
      </w:r>
      <w:r w:rsidRPr="00872DE4">
        <w:br/>
        <w:t xml:space="preserve">This research investigates deadwood diversity in old-growth forests, reporting an average deadwood volume of approximately 85 ± 28 m³/ha. The study highlights the importance of deadwood in maintaining biodiversity and ecosystem health. </w:t>
      </w:r>
    </w:p>
    <w:p w14:paraId="3BD19627" w14:textId="77777777" w:rsidR="00FA50EA" w:rsidRDefault="00FA50EA" w:rsidP="00FA50EA">
      <w:hyperlink r:id="rId17" w:history="1">
        <w:r w:rsidRPr="002A4EAF">
          <w:rPr>
            <w:rStyle w:val="Hyperlink"/>
          </w:rPr>
          <w:t>https://www.mdpi.com/1999-4907/14</w:t>
        </w:r>
        <w:r w:rsidRPr="002A4EAF">
          <w:rPr>
            <w:rStyle w:val="Hyperlink"/>
          </w:rPr>
          <w:t>/</w:t>
        </w:r>
        <w:r w:rsidRPr="002A4EAF">
          <w:rPr>
            <w:rStyle w:val="Hyperlink"/>
          </w:rPr>
          <w:t>1/45</w:t>
        </w:r>
      </w:hyperlink>
    </w:p>
    <w:p w14:paraId="727A1ED8" w14:textId="77777777" w:rsidR="00FA50EA" w:rsidRPr="00872DE4" w:rsidRDefault="00FA50EA" w:rsidP="00FA50EA">
      <w:pPr>
        <w:numPr>
          <w:ilvl w:val="0"/>
          <w:numId w:val="4"/>
        </w:numPr>
        <w:spacing w:after="160" w:line="259" w:lineRule="auto"/>
      </w:pPr>
      <w:r w:rsidRPr="00872DE4">
        <w:rPr>
          <w:b/>
          <w:bCs/>
        </w:rPr>
        <w:t>"A Modelling System for Dead Wood Assessment in the Forests of Lithuania"</w:t>
      </w:r>
      <w:r w:rsidRPr="00872DE4">
        <w:br/>
        <w:t xml:space="preserve">This paper presents a system for assessing deadwood, discussing the relationship between wood density and decay stages. It emphasizes the necessity of understanding wood density variations to accurately convert deadwood volume to biomass and carbon content. </w:t>
      </w:r>
    </w:p>
    <w:p w14:paraId="51FE4C03" w14:textId="77777777" w:rsidR="00FA50EA" w:rsidRDefault="00FA50EA" w:rsidP="00FA50EA">
      <w:hyperlink r:id="rId18" w:history="1">
        <w:r w:rsidRPr="00B3542A">
          <w:rPr>
            <w:rStyle w:val="Hyperlink"/>
          </w:rPr>
          <w:t>https://www.mdpi.com/1999-4907/14/1/45</w:t>
        </w:r>
      </w:hyperlink>
    </w:p>
    <w:p w14:paraId="23B6FF8F" w14:textId="77777777" w:rsidR="00FA50EA" w:rsidRPr="00872DE4" w:rsidRDefault="00FA50EA" w:rsidP="00FA50EA"/>
    <w:p w14:paraId="3E76DD14" w14:textId="77777777" w:rsidR="00FA50EA" w:rsidRDefault="00FA50EA" w:rsidP="00FA50EA">
      <w:r w:rsidRPr="00872DE4">
        <w:t>These studies provide insights into deadwood density and volume, which can inform your calculations and assumptions regarding deadwood biomass and volume conversions.</w:t>
      </w:r>
    </w:p>
    <w:p w14:paraId="710C10B8" w14:textId="77777777" w:rsidR="00FA50EA" w:rsidRDefault="00FA50EA" w:rsidP="00FA50EA"/>
    <w:p w14:paraId="76EA557B" w14:textId="77777777" w:rsidR="00FA50EA" w:rsidRDefault="00FA50EA" w:rsidP="00FA50EA"/>
    <w:p w14:paraId="16DE4C98" w14:textId="77777777" w:rsidR="00FA50EA" w:rsidRDefault="00FA50EA" w:rsidP="00FA50EA"/>
    <w:p w14:paraId="692D0EE6" w14:textId="77777777" w:rsidR="00FA50EA" w:rsidRDefault="00FA50EA" w:rsidP="00FA50EA"/>
    <w:p w14:paraId="00A189CA" w14:textId="77777777" w:rsidR="00FA50EA" w:rsidRDefault="00FA50EA" w:rsidP="00FA50EA">
      <w:r>
        <w:t>Cite for sure in the calculations:</w:t>
      </w:r>
    </w:p>
    <w:p w14:paraId="502FC401" w14:textId="77777777" w:rsidR="00FA50EA" w:rsidRDefault="00FA50EA" w:rsidP="00FA50EA">
      <w:r w:rsidRPr="006E1289">
        <w:t xml:space="preserve">Bitunjac, D., Sever, M. Z. O., Sever, K., </w:t>
      </w:r>
      <w:proofErr w:type="spellStart"/>
      <w:r w:rsidRPr="006E1289">
        <w:t>Merganičová</w:t>
      </w:r>
      <w:proofErr w:type="spellEnd"/>
      <w:r w:rsidRPr="006E1289">
        <w:t>, K., &amp; Marjanović, H. (2023). Dead wood volume-to-carbon conversion factors by decay class for ten tree species in Croatia and eight tree genera globally. </w:t>
      </w:r>
      <w:r w:rsidRPr="006E1289">
        <w:rPr>
          <w:i/>
          <w:iCs/>
        </w:rPr>
        <w:t>Forest ecology and management</w:t>
      </w:r>
      <w:r w:rsidRPr="006E1289">
        <w:t>, </w:t>
      </w:r>
      <w:r w:rsidRPr="006E1289">
        <w:rPr>
          <w:i/>
          <w:iCs/>
        </w:rPr>
        <w:t>549</w:t>
      </w:r>
      <w:r w:rsidRPr="006E1289">
        <w:t>, 121431.</w:t>
      </w:r>
      <w:r>
        <w:t xml:space="preserve"> </w:t>
      </w:r>
      <w:hyperlink r:id="rId19" w:history="1">
        <w:r w:rsidRPr="002A4EAF">
          <w:rPr>
            <w:rStyle w:val="Hyperlink"/>
          </w:rPr>
          <w:t>https://doi.org/10.1016/j.foreco.2023.121431</w:t>
        </w:r>
      </w:hyperlink>
    </w:p>
    <w:p w14:paraId="537F27FD" w14:textId="77777777" w:rsidR="00FA50EA" w:rsidRDefault="00FA50EA" w:rsidP="00FA50EA"/>
    <w:p w14:paraId="502E011B" w14:textId="77777777" w:rsidR="00FA50EA" w:rsidRDefault="00FA50EA" w:rsidP="00FA50EA">
      <w:proofErr w:type="spellStart"/>
      <w:r w:rsidRPr="006E1289">
        <w:t>Shvidenko</w:t>
      </w:r>
      <w:proofErr w:type="spellEnd"/>
      <w:r w:rsidRPr="006E1289">
        <w:t xml:space="preserve">, A., </w:t>
      </w:r>
      <w:proofErr w:type="spellStart"/>
      <w:r w:rsidRPr="006E1289">
        <w:t>Mukhortova</w:t>
      </w:r>
      <w:proofErr w:type="spellEnd"/>
      <w:r w:rsidRPr="006E1289">
        <w:t xml:space="preserve">, L., Kapitsa, E., Kraxner, F., See, L., </w:t>
      </w:r>
      <w:proofErr w:type="spellStart"/>
      <w:r w:rsidRPr="006E1289">
        <w:t>Pyzhev</w:t>
      </w:r>
      <w:proofErr w:type="spellEnd"/>
      <w:r w:rsidRPr="006E1289">
        <w:t xml:space="preserve">, A., ... &amp; </w:t>
      </w:r>
      <w:proofErr w:type="spellStart"/>
      <w:r w:rsidRPr="006E1289">
        <w:t>Schepaschenko</w:t>
      </w:r>
      <w:proofErr w:type="spellEnd"/>
      <w:r w:rsidRPr="006E1289">
        <w:t>, D. (2022). A Modelling System for Dead Wood Assessment in the Forests of Northern Eurasia. </w:t>
      </w:r>
      <w:r w:rsidRPr="006E1289">
        <w:rPr>
          <w:i/>
          <w:iCs/>
        </w:rPr>
        <w:t>Forests</w:t>
      </w:r>
      <w:r w:rsidRPr="006E1289">
        <w:t>, </w:t>
      </w:r>
      <w:r w:rsidRPr="006E1289">
        <w:rPr>
          <w:i/>
          <w:iCs/>
        </w:rPr>
        <w:t>14</w:t>
      </w:r>
      <w:r w:rsidRPr="006E1289">
        <w:t>(1), 45.</w:t>
      </w:r>
      <w:r>
        <w:t xml:space="preserve"> </w:t>
      </w:r>
      <w:hyperlink r:id="rId20" w:history="1">
        <w:r w:rsidRPr="002A4EAF">
          <w:rPr>
            <w:rStyle w:val="Hyperlink"/>
          </w:rPr>
          <w:t>https://doi.org/10.3390/f14010045</w:t>
        </w:r>
      </w:hyperlink>
    </w:p>
    <w:p w14:paraId="0FED4DBE" w14:textId="77777777" w:rsidR="00FA50EA" w:rsidRDefault="00FA50EA" w:rsidP="00FA50EA">
      <w:pPr>
        <w:jc w:val="center"/>
        <w:rPr>
          <w:rFonts w:ascii="Calibri" w:hAnsi="Calibri" w:cs="Calibri"/>
        </w:rPr>
      </w:pPr>
    </w:p>
    <w:p w14:paraId="1DCC18D7" w14:textId="77777777" w:rsidR="00FA50EA" w:rsidRDefault="00FA50EA" w:rsidP="00FA50EA">
      <w:pPr>
        <w:jc w:val="center"/>
        <w:rPr>
          <w:rFonts w:ascii="Calibri" w:hAnsi="Calibri" w:cs="Calibri"/>
        </w:rPr>
      </w:pPr>
    </w:p>
    <w:p w14:paraId="3928951A" w14:textId="77777777" w:rsidR="00FA50EA" w:rsidRPr="00E97401" w:rsidRDefault="00FA50EA" w:rsidP="00EF0A13">
      <w:pPr>
        <w:jc w:val="both"/>
        <w:rPr>
          <w:rFonts w:ascii="Calibri" w:eastAsia="Times New Roman" w:hAnsi="Calibri" w:cs="Calibri"/>
          <w:color w:val="000000"/>
        </w:rPr>
      </w:pPr>
    </w:p>
    <w:p w14:paraId="5685DBBB" w14:textId="77777777" w:rsidR="00EF0A13" w:rsidRDefault="00EF0A13" w:rsidP="00EF0A13">
      <w:pPr>
        <w:jc w:val="center"/>
        <w:rPr>
          <w:rFonts w:ascii="Calibri" w:hAnsi="Calibri" w:cs="Calibri"/>
          <w:i/>
          <w:iCs/>
        </w:rPr>
      </w:pPr>
    </w:p>
    <w:p w14:paraId="5F55F376" w14:textId="77777777" w:rsidR="00EF0A13" w:rsidRDefault="00EF0A13">
      <w:pPr>
        <w:pStyle w:val="BodyText"/>
      </w:pPr>
    </w:p>
    <w:sectPr w:rsidR="00EF0A13">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aldo Marco" w:date="2024-04-02T19:20:00Z" w:initials="MB">
    <w:p w14:paraId="684B7A76" w14:textId="77777777" w:rsidR="00EF0A13" w:rsidRDefault="00EF0A13" w:rsidP="00EF0A13">
      <w:pPr>
        <w:pStyle w:val="CommentText"/>
      </w:pPr>
      <w:r>
        <w:rPr>
          <w:rStyle w:val="CommentReference"/>
        </w:rPr>
        <w:annotationRef/>
      </w:r>
      <w:hyperlink r:id="rId1" w:history="1">
        <w:r w:rsidRPr="00630E2A">
          <w:rPr>
            <w:rStyle w:val="Hyperlink"/>
          </w:rPr>
          <w:t>https://www.researchgate.net/publication/323187860_MATHEMATICAL_BIOMASS_MODELS_FOR_YOUNG_INDIVIDUALS_OF_FOREST_TREE_SPECIES_IN_THE_REGION_OF_THE_WESTERN_CARPATHIANS</w:t>
        </w:r>
      </w:hyperlink>
    </w:p>
  </w:comment>
  <w:comment w:id="2" w:author="Baldo Marco" w:date="2024-04-02T19:24:00Z" w:initials="MB">
    <w:p w14:paraId="32A5DF6E" w14:textId="77777777" w:rsidR="00EF0A13" w:rsidRDefault="00EF0A13" w:rsidP="00EF0A13">
      <w:pPr>
        <w:pStyle w:val="CommentText"/>
      </w:pPr>
      <w:r>
        <w:rPr>
          <w:rStyle w:val="CommentReference"/>
        </w:rPr>
        <w:annotationRef/>
      </w:r>
      <w:r>
        <w:t>Many greetings from Slovakia. We have been working on one biodiversity study, where we would like to use the</w:t>
      </w:r>
    </w:p>
    <w:p w14:paraId="20793B48" w14:textId="77777777" w:rsidR="00EF0A13" w:rsidRDefault="00EF0A13" w:rsidP="00EF0A13">
      <w:pPr>
        <w:pStyle w:val="CommentText"/>
      </w:pPr>
      <w:r>
        <w:t>output from iLand for predictions of biodiversity trajectories under different scenarios. One of the outputs to be used</w:t>
      </w:r>
    </w:p>
    <w:p w14:paraId="65E3F519" w14:textId="77777777" w:rsidR="00EF0A13" w:rsidRDefault="00EF0A13" w:rsidP="00EF0A13">
      <w:pPr>
        <w:pStyle w:val="CommentText"/>
      </w:pPr>
      <w:r>
        <w:t>is deadwood. We are simulating one-hectare plots, i.e. we are running the model in torus mode.</w:t>
      </w:r>
    </w:p>
    <w:p w14:paraId="753EA5E8" w14:textId="77777777" w:rsidR="00EF0A13" w:rsidRDefault="00EF0A13" w:rsidP="00EF0A13">
      <w:pPr>
        <w:pStyle w:val="CommentText"/>
      </w:pPr>
      <w:r>
        <w:t>We realised that the deadwood volume is accumulating in the first years of simulations, and I cannot figure out why</w:t>
      </w:r>
    </w:p>
    <w:p w14:paraId="7F6FAFB6" w14:textId="77777777" w:rsidR="00EF0A13" w:rsidRDefault="00EF0A13" w:rsidP="00EF0A13">
      <w:pPr>
        <w:pStyle w:val="CommentText"/>
      </w:pPr>
      <w:r>
        <w:t>this is happening. We set the initial deadwood volume based on the field observations following the logic of the</w:t>
      </w:r>
    </w:p>
    <w:p w14:paraId="7AB4D1D3" w14:textId="77777777" w:rsidR="00EF0A13" w:rsidRDefault="00EF0A13" w:rsidP="00EF0A13">
      <w:pPr>
        <w:pStyle w:val="CommentText"/>
      </w:pPr>
      <w:r>
        <w:t>model. The value in year 1 is consistent with the initial values, but in the subsequent years the deadwood volume is</w:t>
      </w:r>
    </w:p>
    <w:p w14:paraId="05E27D79" w14:textId="77777777" w:rsidR="00EF0A13" w:rsidRDefault="00EF0A13" w:rsidP="00EF0A13">
      <w:pPr>
        <w:pStyle w:val="CommentText"/>
      </w:pPr>
      <w:r>
        <w:t>increasing further to much higher values (by a factor of 10) than the actually observed volume (including the pool of</w:t>
      </w:r>
    </w:p>
    <w:p w14:paraId="5CF43B22" w14:textId="77777777" w:rsidR="00EF0A13" w:rsidRDefault="00EF0A13" w:rsidP="00EF0A13">
      <w:pPr>
        <w:pStyle w:val="CommentText"/>
      </w:pPr>
      <w:r>
        <w:t>branches, and roots, as it is in the model). This is happening even after we excluded mortality, regeneration,</w:t>
      </w:r>
    </w:p>
    <w:p w14:paraId="208D7FB0" w14:textId="77777777" w:rsidR="00EF0A13" w:rsidRDefault="00EF0A13" w:rsidP="00EF0A13">
      <w:pPr>
        <w:pStyle w:val="CommentText"/>
      </w:pPr>
      <w:r>
        <w:t>browsing, and management, see the figure below with different scenarios showing downedWood_c pool.</w:t>
      </w:r>
    </w:p>
    <w:p w14:paraId="6F6851D6" w14:textId="77777777" w:rsidR="00EF0A13" w:rsidRDefault="00EF0A13" w:rsidP="00EF0A13">
      <w:pPr>
        <w:pStyle w:val="CommentText"/>
      </w:pPr>
      <w:r>
        <w:t>I would like to know if there are any other deadwood sources that I have not tracked down, e.g. annual mortality of</w:t>
      </w:r>
    </w:p>
    <w:p w14:paraId="101862DA" w14:textId="77777777" w:rsidR="00EF0A13" w:rsidRDefault="00EF0A13" w:rsidP="00EF0A13">
      <w:pPr>
        <w:pStyle w:val="CommentText"/>
      </w:pPr>
      <w:r>
        <w:t>branches or coarse roots. Based on the description on your website, these should first go to snags_other, but this</w:t>
      </w:r>
    </w:p>
    <w:p w14:paraId="1294EC16" w14:textId="77777777" w:rsidR="00EF0A13" w:rsidRDefault="00EF0A13" w:rsidP="00EF0A13">
      <w:pPr>
        <w:pStyle w:val="CommentText"/>
      </w:pPr>
      <w:r>
        <w:t>pool remains empty if all mentioned processes leading to mortality are switched off (i.e. mortality, management,</w:t>
      </w:r>
    </w:p>
    <w:p w14:paraId="7631C5E1" w14:textId="77777777" w:rsidR="00EF0A13" w:rsidRDefault="00EF0A13" w:rsidP="00EF0A13">
      <w:pPr>
        <w:pStyle w:val="CommentText"/>
      </w:pPr>
      <w:r>
        <w:t>regeneration, browsing). I would appreciate if you could clarify what is going on.</w:t>
      </w:r>
    </w:p>
  </w:comment>
  <w:comment w:id="3" w:author="Baldo Marco" w:date="2024-04-02T19:28:00Z" w:initials="MB">
    <w:p w14:paraId="6E814A49" w14:textId="77777777" w:rsidR="00EF0A13" w:rsidRDefault="00EF0A13" w:rsidP="00EF0A13">
      <w:pPr>
        <w:pStyle w:val="CommentText"/>
      </w:pPr>
      <w:r>
        <w:rPr>
          <w:rStyle w:val="CommentReference"/>
        </w:rPr>
        <w:annotationRef/>
      </w:r>
      <w:r>
        <w:rPr>
          <w:color w:val="000000"/>
        </w:rPr>
        <w:t>Great to hear that you are working with iLand - and greeting back! I just passed the border between</w:t>
      </w:r>
    </w:p>
    <w:p w14:paraId="710BD4F8" w14:textId="77777777" w:rsidR="00EF0A13" w:rsidRDefault="00EF0A13" w:rsidP="00EF0A13">
      <w:pPr>
        <w:pStyle w:val="CommentText"/>
      </w:pPr>
      <w:r>
        <w:rPr>
          <w:color w:val="000000"/>
        </w:rPr>
        <w:t>Germany and Austria on my way to Vienna.</w:t>
      </w:r>
    </w:p>
    <w:p w14:paraId="6DF61112" w14:textId="77777777" w:rsidR="00EF0A13" w:rsidRDefault="00EF0A13" w:rsidP="00EF0A13">
      <w:pPr>
        <w:pStyle w:val="CommentText"/>
      </w:pPr>
      <w:r>
        <w:rPr>
          <w:color w:val="000000"/>
        </w:rPr>
        <w:t>Which type of deadwood are you interested in? Are you looking at standing or lying deadwood? Even</w:t>
      </w:r>
    </w:p>
    <w:p w14:paraId="13F9DDCC" w14:textId="77777777" w:rsidR="00EF0A13" w:rsidRDefault="00EF0A13" w:rsidP="00EF0A13">
      <w:pPr>
        <w:pStyle w:val="CommentText"/>
      </w:pPr>
      <w:r>
        <w:rPr>
          <w:color w:val="000000"/>
        </w:rPr>
        <w:t>without mortality there would be a flux to downed wood when you have some standing deadwood, so</w:t>
      </w:r>
    </w:p>
    <w:p w14:paraId="73BE9121" w14:textId="77777777" w:rsidR="00EF0A13" w:rsidRDefault="00EF0A13" w:rsidP="00EF0A13">
      <w:pPr>
        <w:pStyle w:val="CommentText"/>
      </w:pPr>
      <w:r>
        <w:rPr>
          <w:color w:val="000000"/>
        </w:rPr>
        <w:t>I would check those first. Another point may be: there are some "aboveground" carbon pools (e.g.</w:t>
      </w:r>
    </w:p>
    <w:p w14:paraId="70D29DC4" w14:textId="77777777" w:rsidR="00EF0A13" w:rsidRDefault="00EF0A13" w:rsidP="00EF0A13">
      <w:pPr>
        <w:pStyle w:val="CommentText"/>
      </w:pPr>
      <w:r>
        <w:rPr>
          <w:color w:val="000000"/>
        </w:rPr>
        <w:t>downedWood_c_ag) - these do not include the coarse roots which is often a substantial part (but</w:t>
      </w:r>
    </w:p>
    <w:p w14:paraId="5AFB4EEE" w14:textId="77777777" w:rsidR="00EF0A13" w:rsidRDefault="00EF0A13" w:rsidP="00EF0A13">
      <w:pPr>
        <w:pStyle w:val="CommentText"/>
      </w:pPr>
      <w:r>
        <w:rPr>
          <w:color w:val="000000"/>
        </w:rPr>
        <w:t>typically not of interest).</w:t>
      </w:r>
    </w:p>
    <w:p w14:paraId="760FDB7F" w14:textId="77777777" w:rsidR="00EF0A13" w:rsidRDefault="00EF0A13" w:rsidP="00EF0A13">
      <w:pPr>
        <w:pStyle w:val="CommentText"/>
      </w:pPr>
      <w:r>
        <w:rPr>
          <w:color w:val="000000"/>
        </w:rPr>
        <w:t>When a tree dies (and remains standing), branches and coarse roots enter downed deadwood over</w:t>
      </w:r>
    </w:p>
    <w:p w14:paraId="59648B93" w14:textId="77777777" w:rsidR="00EF0A13" w:rsidRDefault="00EF0A13" w:rsidP="00EF0A13">
      <w:pPr>
        <w:pStyle w:val="CommentText"/>
      </w:pPr>
      <w:r>
        <w:rPr>
          <w:color w:val="000000"/>
        </w:rPr>
        <w:t xml:space="preserve">five years (to snagsOther), the stems take longer (vis snags pool </w:t>
      </w:r>
      <w:r>
        <w:rPr>
          <w:color w:val="0000FF"/>
        </w:rPr>
        <w:t>https://ilandmodel.</w:t>
      </w:r>
    </w:p>
    <w:p w14:paraId="014B6ABC" w14:textId="77777777" w:rsidR="00EF0A13" w:rsidRDefault="00EF0A13" w:rsidP="00EF0A13">
      <w:pPr>
        <w:pStyle w:val="CommentText"/>
      </w:pPr>
      <w:r>
        <w:rPr>
          <w:color w:val="0000FF"/>
        </w:rPr>
        <w:t>org/snag+dynamics</w:t>
      </w:r>
      <w:r>
        <w:rPr>
          <w:color w:val="000000"/>
        </w:rPr>
        <w:t>).</w:t>
      </w:r>
    </w:p>
    <w:p w14:paraId="454A6A17" w14:textId="77777777" w:rsidR="00EF0A13" w:rsidRDefault="00EF0A13" w:rsidP="00EF0A13">
      <w:pPr>
        <w:pStyle w:val="CommentText"/>
      </w:pPr>
      <w:r>
        <w:rPr>
          <w:color w:val="000000"/>
        </w:rPr>
        <w:t>Very detailed fluxes are in the "Carbon Cycle" debug output - ultimately, every C atom should be in</w:t>
      </w:r>
    </w:p>
    <w:p w14:paraId="52D4CC3F" w14:textId="77777777" w:rsidR="00EF0A13" w:rsidRDefault="00EF0A13" w:rsidP="00EF0A13">
      <w:pPr>
        <w:pStyle w:val="CommentText"/>
      </w:pPr>
      <w:r>
        <w:rPr>
          <w:color w:val="000000"/>
        </w:rPr>
        <w:t>there.</w:t>
      </w:r>
    </w:p>
  </w:comment>
  <w:comment w:id="4" w:author="Baldo Marco" w:date="2024-04-02T19:31:00Z" w:initials="MB">
    <w:p w14:paraId="48AC74AA" w14:textId="77777777" w:rsidR="00EF0A13" w:rsidRDefault="00EF0A13" w:rsidP="00EF0A13">
      <w:pPr>
        <w:pStyle w:val="CommentText"/>
      </w:pPr>
      <w:r>
        <w:rPr>
          <w:rStyle w:val="CommentReference"/>
        </w:rPr>
        <w:annotationRef/>
      </w:r>
      <w:r>
        <w:t>Hi Werner,</w:t>
      </w:r>
    </w:p>
    <w:p w14:paraId="1B046731" w14:textId="77777777" w:rsidR="00EF0A13" w:rsidRDefault="00EF0A13" w:rsidP="00EF0A13">
      <w:pPr>
        <w:pStyle w:val="CommentText"/>
      </w:pPr>
      <w:r>
        <w:t>Thanks a lot for your fast reply and your suggestions. I checked the „Carbon Cycle“ output, and it helped me to</w:t>
      </w:r>
    </w:p>
    <w:p w14:paraId="12F77694" w14:textId="77777777" w:rsidR="00EF0A13" w:rsidRDefault="00EF0A13" w:rsidP="00EF0A13">
      <w:pPr>
        <w:pStyle w:val="CommentText"/>
      </w:pPr>
      <w:r>
        <w:t>confirm some things regarding the movement of carbon between deadwood pools and fluxes that I learned from all</w:t>
      </w:r>
    </w:p>
    <w:p w14:paraId="3A8CD2F3" w14:textId="77777777" w:rsidR="00EF0A13" w:rsidRDefault="00EF0A13" w:rsidP="00EF0A13">
      <w:pPr>
        <w:pStyle w:val="CommentText"/>
      </w:pPr>
      <w:r>
        <w:t>the available information sources about iLand.</w:t>
      </w:r>
    </w:p>
    <w:p w14:paraId="47857D2F" w14:textId="77777777" w:rsidR="00EF0A13" w:rsidRDefault="00EF0A13" w:rsidP="00EF0A13">
      <w:pPr>
        <w:pStyle w:val="CommentText"/>
      </w:pPr>
      <w:r>
        <w:t>However, I still have a problem to comprehend the carbon in the flux „toRefr_c“. I do not understand where the</w:t>
      </w:r>
    </w:p>
    <w:p w14:paraId="672043CC" w14:textId="77777777" w:rsidR="00EF0A13" w:rsidRDefault="00EF0A13" w:rsidP="00EF0A13">
      <w:pPr>
        <w:pStyle w:val="CommentText"/>
      </w:pPr>
      <w:r>
        <w:t>inputs are coming from, because we turned mortality, regeneration, browsing, and management off. We have also</w:t>
      </w:r>
    </w:p>
    <w:p w14:paraId="5BD5CD23" w14:textId="77777777" w:rsidR="00EF0A13" w:rsidRDefault="00EF0A13" w:rsidP="00EF0A13">
      <w:pPr>
        <w:pStyle w:val="CommentText"/>
      </w:pPr>
      <w:r>
        <w:t>made a test where we set all initial deadwood pools to 0. In that case (including no mortality, no management, no</w:t>
      </w:r>
    </w:p>
    <w:p w14:paraId="342BA45D" w14:textId="77777777" w:rsidR="00EF0A13" w:rsidRDefault="00EF0A13" w:rsidP="00EF0A13">
      <w:pPr>
        <w:pStyle w:val="CommentText"/>
      </w:pPr>
      <w:r>
        <w:t>browsing, and no regeneration) I can see that Snags, and DownedWood_c_ag remain 0 during the whole simulation,</w:t>
      </w:r>
    </w:p>
    <w:p w14:paraId="094D45CD" w14:textId="77777777" w:rsidR="00EF0A13" w:rsidRDefault="00EF0A13" w:rsidP="00EF0A13">
      <w:pPr>
        <w:pStyle w:val="CommentText"/>
      </w:pPr>
      <w:r>
        <w:t>but the flux „ToRefr_c“ is never zero, and hence DownedWood_c is also changing. The temporal patterns of the flux</w:t>
      </w:r>
    </w:p>
    <w:p w14:paraId="747B7DEB" w14:textId="77777777" w:rsidR="00EF0A13" w:rsidRDefault="00EF0A13" w:rsidP="00EF0A13">
      <w:pPr>
        <w:pStyle w:val="CommentText"/>
      </w:pPr>
      <w:r>
        <w:t>„toRefr_c“ and „downedWood_c“ are similar, which explains the dynamics of DownedWood_c. However, I would like</w:t>
      </w:r>
    </w:p>
    <w:p w14:paraId="409AA645" w14:textId="77777777" w:rsidR="00EF0A13" w:rsidRDefault="00EF0A13" w:rsidP="00EF0A13">
      <w:pPr>
        <w:pStyle w:val="CommentText"/>
      </w:pPr>
      <w:r>
        <w:t>to know the carbon sources for the flux „toRefr_c“. unfortunatelly, I have not found any output that would clarify this</w:t>
      </w:r>
    </w:p>
    <w:p w14:paraId="07E96F53" w14:textId="77777777" w:rsidR="00EF0A13" w:rsidRDefault="00EF0A13" w:rsidP="00EF0A13">
      <w:pPr>
        <w:pStyle w:val="CommentText"/>
      </w:pPr>
      <w:r>
        <w:t>to me. Does the model assume some mortality rate of coarse roots?</w:t>
      </w:r>
    </w:p>
    <w:p w14:paraId="216076DB" w14:textId="77777777" w:rsidR="00EF0A13" w:rsidRDefault="00EF0A13" w:rsidP="00EF0A13">
      <w:pPr>
        <w:pStyle w:val="CommentText"/>
      </w:pPr>
      <w:r>
        <w:t>I hope I have managed to explain my problem sufficiently. If not, we can also have a quick call if you have some free</w:t>
      </w:r>
    </w:p>
    <w:p w14:paraId="0CBC6FC7" w14:textId="77777777" w:rsidR="00EF0A13" w:rsidRDefault="00EF0A13" w:rsidP="00EF0A13">
      <w:pPr>
        <w:pStyle w:val="CommentText"/>
      </w:pPr>
      <w:r>
        <w:t>time.</w:t>
      </w:r>
    </w:p>
    <w:p w14:paraId="3418CBF5" w14:textId="77777777" w:rsidR="00EF0A13" w:rsidRDefault="00EF0A13" w:rsidP="00EF0A13">
      <w:pPr>
        <w:pStyle w:val="CommentText"/>
      </w:pPr>
      <w:r>
        <w:t>Thank you very much for your help.</w:t>
      </w:r>
    </w:p>
  </w:comment>
  <w:comment w:id="5" w:author="Baldo Marco" w:date="2024-04-02T19:31:00Z" w:initials="MB">
    <w:p w14:paraId="3655455B" w14:textId="77777777" w:rsidR="00EF0A13" w:rsidRDefault="00EF0A13" w:rsidP="00EF0A13">
      <w:pPr>
        <w:pStyle w:val="CommentText"/>
      </w:pPr>
      <w:r>
        <w:rPr>
          <w:rStyle w:val="CommentReference"/>
        </w:rPr>
        <w:annotationRef/>
      </w:r>
      <w:r>
        <w:t>sorry for the slow response - I returned only today to office after some days off. I hope you had a nice</w:t>
      </w:r>
    </w:p>
    <w:p w14:paraId="00527540" w14:textId="77777777" w:rsidR="00EF0A13" w:rsidRDefault="00EF0A13" w:rsidP="00EF0A13">
      <w:pPr>
        <w:pStyle w:val="CommentText"/>
      </w:pPr>
      <w:r>
        <w:t>holiday break, too!</w:t>
      </w:r>
    </w:p>
    <w:p w14:paraId="7668CCC6" w14:textId="77777777" w:rsidR="00EF0A13" w:rsidRDefault="00EF0A13" w:rsidP="00EF0A13">
      <w:pPr>
        <w:pStyle w:val="CommentText"/>
      </w:pPr>
      <w:r>
        <w:t>The "toRefr_c" is the flux of woody material to the refractory (woody) soil pool. The standard pathways</w:t>
      </w:r>
    </w:p>
    <w:p w14:paraId="2D84AE6F" w14:textId="77777777" w:rsidR="00EF0A13" w:rsidRDefault="00EF0A13" w:rsidP="00EF0A13">
      <w:pPr>
        <w:pStyle w:val="CommentText"/>
      </w:pPr>
      <w:r>
        <w:t>are indeed covered when you turn off mortality / management / regeneration. I looked in the code and</w:t>
      </w:r>
    </w:p>
    <w:p w14:paraId="5624ACC4" w14:textId="77777777" w:rsidR="00EF0A13" w:rsidRDefault="00EF0A13" w:rsidP="00EF0A13">
      <w:pPr>
        <w:pStyle w:val="CommentText"/>
      </w:pPr>
      <w:r>
        <w:t>found one other pathway that could be the cause for the fluxes you see in the outputs. There is the</w:t>
      </w:r>
    </w:p>
    <w:p w14:paraId="5804D03D" w14:textId="77777777" w:rsidR="00EF0A13" w:rsidRDefault="00EF0A13" w:rsidP="00EF0A13">
      <w:pPr>
        <w:pStyle w:val="CommentText"/>
      </w:pPr>
      <w:r>
        <w:t>partitioning of NPP that distributes biomass to the compartments of a tree; now there are also</w:t>
      </w:r>
    </w:p>
    <w:p w14:paraId="4BB5A9B9" w14:textId="77777777" w:rsidR="00EF0A13" w:rsidRDefault="00EF0A13" w:rsidP="00EF0A13">
      <w:pPr>
        <w:pStyle w:val="CommentText"/>
      </w:pPr>
      <w:r>
        <w:t>allometries for coarse roots and branches (which are also used for the partitioning algorithm). In the</w:t>
      </w:r>
    </w:p>
    <w:p w14:paraId="133CF7D3" w14:textId="77777777" w:rsidR="00EF0A13" w:rsidRDefault="00EF0A13" w:rsidP="00EF0A13">
      <w:pPr>
        <w:pStyle w:val="CommentText"/>
      </w:pPr>
      <w:r>
        <w:t>case that there is just too much NPP moved to the roots/branches, the surplus is routed to the</w:t>
      </w:r>
    </w:p>
    <w:p w14:paraId="24FC166C" w14:textId="77777777" w:rsidR="00EF0A13" w:rsidRDefault="00EF0A13" w:rsidP="00EF0A13">
      <w:pPr>
        <w:pStyle w:val="CommentText"/>
      </w:pPr>
      <w:r>
        <w:t>refractory pool. We set the upper bound (=max carbon content) to allometry + 20%, i.e. the respective</w:t>
      </w:r>
    </w:p>
    <w:p w14:paraId="75F4EC9F" w14:textId="77777777" w:rsidR="00EF0A13" w:rsidRDefault="00EF0A13" w:rsidP="00EF0A13">
      <w:pPr>
        <w:pStyle w:val="CommentText"/>
      </w:pPr>
      <w:r>
        <w:t>pools can grow up to 20% above the value given by the allometric function. This mechanism is (a) to</w:t>
      </w:r>
    </w:p>
    <w:p w14:paraId="5026833A" w14:textId="77777777" w:rsidR="00EF0A13" w:rsidRDefault="00EF0A13" w:rsidP="00EF0A13">
      <w:pPr>
        <w:pStyle w:val="CommentText"/>
      </w:pPr>
      <w:r>
        <w:t>avoid unrealistic trees (e.g. with huge amount of coarse roots) and (b) not to have a leak in the carbon</w:t>
      </w:r>
    </w:p>
    <w:p w14:paraId="70851E76" w14:textId="77777777" w:rsidR="00EF0A13" w:rsidRDefault="00EF0A13" w:rsidP="00EF0A13">
      <w:pPr>
        <w:pStyle w:val="CommentText"/>
      </w:pPr>
      <w:r>
        <w:t>balance.</w:t>
      </w:r>
    </w:p>
    <w:p w14:paraId="3DEE7F44" w14:textId="77777777" w:rsidR="00EF0A13" w:rsidRDefault="00EF0A13" w:rsidP="00EF0A13">
      <w:pPr>
        <w:pStyle w:val="CommentText"/>
      </w:pPr>
      <w:r>
        <w:t>As far as I see it is difficult to check if this is really the culprit without actual debugging the model; in</w:t>
      </w:r>
    </w:p>
    <w:p w14:paraId="01952AD9" w14:textId="77777777" w:rsidR="00EF0A13" w:rsidRDefault="00EF0A13" w:rsidP="00EF0A13">
      <w:pPr>
        <w:pStyle w:val="CommentText"/>
      </w:pPr>
      <w:r>
        <w:t>any case, these fluxes should be rather an exception and relatively small.</w:t>
      </w:r>
    </w:p>
  </w:comment>
  <w:comment w:id="6" w:author="Baldo Marco" w:date="2024-04-02T19:39:00Z" w:initials="MB">
    <w:p w14:paraId="529983D3" w14:textId="77777777" w:rsidR="00EF0A13" w:rsidRDefault="00EF0A13" w:rsidP="00EF0A13">
      <w:pPr>
        <w:pStyle w:val="CommentText"/>
      </w:pPr>
      <w:r>
        <w:rPr>
          <w:rStyle w:val="CommentReference"/>
        </w:rPr>
        <w:annotationRef/>
      </w:r>
      <w:r>
        <w:t>Hi Werner,</w:t>
      </w:r>
    </w:p>
    <w:p w14:paraId="666309F2" w14:textId="77777777" w:rsidR="00EF0A13" w:rsidRDefault="00EF0A13" w:rsidP="00EF0A13">
      <w:pPr>
        <w:pStyle w:val="CommentText"/>
      </w:pPr>
      <w:r>
        <w:t>Regarding the issue with deadwood, what you have written explains the flux „toRefr_c“, although it still seems quite</w:t>
      </w:r>
    </w:p>
    <w:p w14:paraId="00817B7C" w14:textId="77777777" w:rsidR="00EF0A13" w:rsidRDefault="00EF0A13" w:rsidP="00EF0A13">
      <w:pPr>
        <w:pStyle w:val="CommentText"/>
      </w:pPr>
      <w:r>
        <w:t>large to me, especially at the beginning of the simulation, see the figure below. Can it be due to the mode that we</w:t>
      </w:r>
    </w:p>
    <w:p w14:paraId="026AED1D" w14:textId="77777777" w:rsidR="00EF0A13" w:rsidRDefault="00EF0A13" w:rsidP="00EF0A13">
      <w:pPr>
        <w:pStyle w:val="CommentText"/>
      </w:pPr>
      <w:r>
        <w:t>use for simulations (torus mode with no spinup)?</w:t>
      </w:r>
    </w:p>
    <w:p w14:paraId="5B171354" w14:textId="77777777" w:rsidR="00EF0A13" w:rsidRDefault="00EF0A13" w:rsidP="00EF0A13">
      <w:pPr>
        <w:pStyle w:val="CommentText"/>
      </w:pPr>
      <w:r>
        <w:t>(The results are from the simulations with no mortality, no browsing, no management, no regeneration, and with the</w:t>
      </w:r>
    </w:p>
    <w:p w14:paraId="1F4D5FC9" w14:textId="77777777" w:rsidR="00EF0A13" w:rsidRDefault="00EF0A13" w:rsidP="00EF0A13">
      <w:pPr>
        <w:pStyle w:val="CommentText"/>
      </w:pPr>
      <w:r>
        <w:t>initial amount of deadwood based on the field data.)</w:t>
      </w:r>
    </w:p>
    <w:p w14:paraId="76605A36" w14:textId="77777777" w:rsidR="00EF0A13" w:rsidRDefault="00EF0A13" w:rsidP="00EF0A13">
      <w:pPr>
        <w:pStyle w:val="CommentText"/>
      </w:pPr>
      <w:r>
        <w:t>When I compared the flux with the initial amount of deadwood derived from the field data (which was 1207 kgC), the</w:t>
      </w:r>
    </w:p>
    <w:p w14:paraId="6971D2A9" w14:textId="77777777" w:rsidR="00EF0A13" w:rsidRDefault="00EF0A13" w:rsidP="00EF0A13">
      <w:pPr>
        <w:pStyle w:val="CommentText"/>
      </w:pPr>
      <w:r>
        <w:t>annual values were up to 3 times larger than what was recorded in the forest. That explains why the</w:t>
      </w:r>
    </w:p>
    <w:p w14:paraId="4EAB7FC6" w14:textId="77777777" w:rsidR="00EF0A13" w:rsidRDefault="00EF0A13" w:rsidP="00EF0A13">
      <w:pPr>
        <w:pStyle w:val="CommentText"/>
      </w:pPr>
      <w:r>
        <w:t>„downedWood_c“ is also growing to very high values, in some years we had 10 times more simulated deadwood</w:t>
      </w:r>
    </w:p>
    <w:p w14:paraId="2451BBBA" w14:textId="77777777" w:rsidR="00EF0A13" w:rsidRDefault="00EF0A13" w:rsidP="00EF0A13">
      <w:pPr>
        <w:pStyle w:val="CommentText"/>
      </w:pPr>
      <w:r>
        <w:t>than at the beginning. However, when I checked the aboveground downedWood_c_ag, this pool was not increasing,</w:t>
      </w:r>
    </w:p>
    <w:p w14:paraId="6E9B9E84" w14:textId="77777777" w:rsidR="00EF0A13" w:rsidRDefault="00EF0A13" w:rsidP="00EF0A13">
      <w:pPr>
        <w:pStyle w:val="CommentText"/>
      </w:pPr>
      <w:r>
        <w:t>but is being reduced from the initial value to 0 because all processes generating deadwood were turned off. So it</w:t>
      </w:r>
    </w:p>
    <w:p w14:paraId="631D26E3" w14:textId="77777777" w:rsidR="00EF0A13" w:rsidRDefault="00EF0A13" w:rsidP="00EF0A13">
      <w:pPr>
        <w:pStyle w:val="CommentText"/>
      </w:pPr>
      <w:r>
        <w:t>seems everything goes to downedWood belowground.</w:t>
      </w:r>
    </w:p>
    <w:p w14:paraId="7069B2E5" w14:textId="77777777" w:rsidR="00EF0A13" w:rsidRDefault="00EF0A13" w:rsidP="00EF0A13">
      <w:pPr>
        <w:pStyle w:val="CommentText"/>
      </w:pPr>
      <w:r>
        <w:t>Based on this I think we can use the aboveground pools of deadwood for our study that seem to be comparable to</w:t>
      </w:r>
    </w:p>
    <w:p w14:paraId="2200F2A1" w14:textId="77777777" w:rsidR="00EF0A13" w:rsidRDefault="00EF0A13" w:rsidP="00EF0A13">
      <w:pPr>
        <w:pStyle w:val="CommentText"/>
      </w:pPr>
      <w:r>
        <w:t>the field data from the deadwood inventory. Just to be sure about the comparability, I would like to clarify if the</w:t>
      </w:r>
    </w:p>
    <w:p w14:paraId="1968D2A6" w14:textId="77777777" w:rsidR="00EF0A13" w:rsidRDefault="00EF0A13" w:rsidP="00EF0A13">
      <w:pPr>
        <w:pStyle w:val="CommentText"/>
      </w:pPr>
      <w:r>
        <w:t>aboveground pools of deadwood in iLand include also fine woody debris (branches and twigs), or only coarse woody</w:t>
      </w:r>
    </w:p>
    <w:p w14:paraId="6565DAB5" w14:textId="77777777" w:rsidR="00EF0A13" w:rsidRDefault="00EF0A13" w:rsidP="00EF0A13">
      <w:pPr>
        <w:pStyle w:val="CommentText"/>
      </w:pPr>
      <w:r>
        <w:t>debris.</w:t>
      </w:r>
    </w:p>
    <w:p w14:paraId="0F8438A2" w14:textId="77777777" w:rsidR="00EF0A13" w:rsidRDefault="00EF0A13" w:rsidP="00EF0A13">
      <w:pPr>
        <w:pStyle w:val="CommentText"/>
      </w:pPr>
      <w:r>
        <w:t>When we enabled management, we saw increases of deadwood amount after the interventions, which is logical.</w:t>
      </w:r>
    </w:p>
    <w:p w14:paraId="5E7D6163" w14:textId="77777777" w:rsidR="00EF0A13" w:rsidRDefault="00EF0A13" w:rsidP="00EF0A13">
      <w:pPr>
        <w:pStyle w:val="CommentText"/>
      </w:pPr>
      <w:r>
        <w:t>Regarding this, I would like to ask you what exactly remains on site in iLand , is it all wood below a certain diameter,</w:t>
      </w:r>
    </w:p>
    <w:p w14:paraId="0B0DF832" w14:textId="77777777" w:rsidR="00EF0A13" w:rsidRDefault="00EF0A13" w:rsidP="00EF0A13">
      <w:pPr>
        <w:pStyle w:val="CommentText"/>
      </w:pPr>
      <w:r>
        <w:t>e.g. 7cm? Or all branches? Or also a portion of merchantable wood? is it possible to define the proportion of wood</w:t>
      </w:r>
    </w:p>
    <w:p w14:paraId="31F758DA" w14:textId="77777777" w:rsidR="00EF0A13" w:rsidRDefault="00EF0A13" w:rsidP="00EF0A13">
      <w:pPr>
        <w:pStyle w:val="CommentText"/>
      </w:pPr>
      <w:r>
        <w:t>that will be extracted from the forest just as it is in the case of salvaging?</w:t>
      </w:r>
    </w:p>
  </w:comment>
  <w:comment w:id="7" w:author="Baldo Marco" w:date="2024-04-02T19:39:00Z" w:initials="MB">
    <w:p w14:paraId="79186FFE" w14:textId="77777777" w:rsidR="00EF0A13" w:rsidRDefault="00EF0A13" w:rsidP="00EF0A13">
      <w:pPr>
        <w:pStyle w:val="CommentText"/>
      </w:pPr>
      <w:r>
        <w:rPr>
          <w:rStyle w:val="CommentReference"/>
        </w:rPr>
        <w:annotationRef/>
      </w:r>
      <w:r>
        <w:rPr>
          <w:color w:val="000000"/>
        </w:rPr>
        <w:t xml:space="preserve">Re the content of aboveground deadwood: as per </w:t>
      </w:r>
      <w:r>
        <w:rPr>
          <w:color w:val="0000FF"/>
        </w:rPr>
        <w:t xml:space="preserve">https://iland-model.org/snag+dynamics </w:t>
      </w:r>
      <w:r>
        <w:rPr>
          <w:color w:val="000000"/>
        </w:rPr>
        <w:t>branches</w:t>
      </w:r>
    </w:p>
    <w:p w14:paraId="398D6A72" w14:textId="77777777" w:rsidR="00EF0A13" w:rsidRDefault="00EF0A13" w:rsidP="00EF0A13">
      <w:pPr>
        <w:pStyle w:val="CommentText"/>
      </w:pPr>
      <w:r>
        <w:rPr>
          <w:color w:val="000000"/>
        </w:rPr>
        <w:t>and foliage pass the standing woody debris pool but go quickly do litter (foliage) and downed woody</w:t>
      </w:r>
    </w:p>
    <w:p w14:paraId="013964F8" w14:textId="77777777" w:rsidR="00EF0A13" w:rsidRDefault="00EF0A13" w:rsidP="00EF0A13">
      <w:pPr>
        <w:pStyle w:val="CommentText"/>
      </w:pPr>
      <w:r>
        <w:rPr>
          <w:color w:val="000000"/>
        </w:rPr>
        <w:t>debris (branches, roots over 5 years). Stems take longer, but eventually reach DWD as well (the part</w:t>
      </w:r>
    </w:p>
    <w:p w14:paraId="11E3317F" w14:textId="77777777" w:rsidR="00EF0A13" w:rsidRDefault="00EF0A13" w:rsidP="00EF0A13">
      <w:pPr>
        <w:pStyle w:val="CommentText"/>
      </w:pPr>
      <w:r>
        <w:rPr>
          <w:color w:val="000000"/>
        </w:rPr>
        <w:t>not decayed yet). So yes, DWD includes branches.</w:t>
      </w:r>
    </w:p>
    <w:p w14:paraId="53EE9FD7" w14:textId="77777777" w:rsidR="00EF0A13" w:rsidRDefault="00EF0A13" w:rsidP="00EF0A13">
      <w:pPr>
        <w:pStyle w:val="CommentText"/>
      </w:pPr>
      <w:r>
        <w:rPr>
          <w:color w:val="000000"/>
        </w:rPr>
        <w:t>Re management: the default setting is that 100% of branches and 100% of foliage remain in the</w:t>
      </w:r>
    </w:p>
    <w:p w14:paraId="0476E41F" w14:textId="77777777" w:rsidR="00EF0A13" w:rsidRDefault="00EF0A13" w:rsidP="00EF0A13">
      <w:pPr>
        <w:pStyle w:val="CommentText"/>
      </w:pPr>
      <w:r>
        <w:rPr>
          <w:color w:val="000000"/>
        </w:rPr>
        <w:t>forest, and 0% of the stem. The fractions can be altered, though:</w:t>
      </w:r>
    </w:p>
    <w:p w14:paraId="601A2F5C" w14:textId="77777777" w:rsidR="00EF0A13" w:rsidRDefault="00EF0A13" w:rsidP="00EF0A13">
      <w:pPr>
        <w:pStyle w:val="CommentText"/>
      </w:pPr>
      <w:r>
        <w:rPr>
          <w:color w:val="0000FF"/>
        </w:rPr>
        <w:t>https://iland-model.org/apidoc/classes/Management.html#properties</w:t>
      </w:r>
    </w:p>
    <w:p w14:paraId="6797BBCE" w14:textId="77777777" w:rsidR="00EF0A13" w:rsidRDefault="00EF0A13" w:rsidP="00EF0A13">
      <w:pPr>
        <w:pStyle w:val="CommentText"/>
      </w:pPr>
      <w:r>
        <w:rPr>
          <w:color w:val="000000"/>
        </w:rPr>
        <w:t>See also the disturbanceKill() function, which allows even more control.</w:t>
      </w:r>
    </w:p>
    <w:p w14:paraId="430CB071" w14:textId="77777777" w:rsidR="00EF0A13" w:rsidRDefault="00EF0A13" w:rsidP="00EF0A13">
      <w:pPr>
        <w:pStyle w:val="CommentText"/>
      </w:pPr>
      <w:r>
        <w:rPr>
          <w:color w:val="000000"/>
        </w:rPr>
        <w:t>Note: for ABE the removal fractions are as of now still 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4B7A76" w15:done="0"/>
  <w15:commentEx w15:paraId="7631C5E1" w15:done="0"/>
  <w15:commentEx w15:paraId="52D4CC3F" w15:done="0"/>
  <w15:commentEx w15:paraId="3418CBF5" w15:done="0"/>
  <w15:commentEx w15:paraId="01952AD9" w15:paraIdParent="3418CBF5" w15:done="0"/>
  <w15:commentEx w15:paraId="31F758DA" w15:done="0"/>
  <w15:commentEx w15:paraId="430CB071" w15:paraIdParent="31F758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87CFD6" w16cex:dateUtc="2024-04-02T17:20:00Z"/>
  <w16cex:commentExtensible w16cex:durableId="2C6CDE5E" w16cex:dateUtc="2024-04-02T17:24:00Z"/>
  <w16cex:commentExtensible w16cex:durableId="51C9267C" w16cex:dateUtc="2024-04-02T17:28:00Z"/>
  <w16cex:commentExtensible w16cex:durableId="0600D860" w16cex:dateUtc="2024-04-02T17:31:00Z"/>
  <w16cex:commentExtensible w16cex:durableId="64566455" w16cex:dateUtc="2024-04-02T17:31:00Z"/>
  <w16cex:commentExtensible w16cex:durableId="6760D889" w16cex:dateUtc="2024-04-02T17:39:00Z"/>
  <w16cex:commentExtensible w16cex:durableId="769755C9" w16cex:dateUtc="2024-04-02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4B7A76" w16cid:durableId="5887CFD6"/>
  <w16cid:commentId w16cid:paraId="7631C5E1" w16cid:durableId="2C6CDE5E"/>
  <w16cid:commentId w16cid:paraId="52D4CC3F" w16cid:durableId="51C9267C"/>
  <w16cid:commentId w16cid:paraId="3418CBF5" w16cid:durableId="0600D860"/>
  <w16cid:commentId w16cid:paraId="01952AD9" w16cid:durableId="64566455"/>
  <w16cid:commentId w16cid:paraId="31F758DA" w16cid:durableId="6760D889"/>
  <w16cid:commentId w16cid:paraId="430CB071" w16cid:durableId="76975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66BA1" w14:textId="77777777" w:rsidR="0047465B" w:rsidRDefault="0047465B">
      <w:pPr>
        <w:spacing w:after="0"/>
      </w:pPr>
      <w:r>
        <w:separator/>
      </w:r>
    </w:p>
  </w:endnote>
  <w:endnote w:type="continuationSeparator" w:id="0">
    <w:p w14:paraId="2B777D73" w14:textId="77777777" w:rsidR="0047465B" w:rsidRDefault="004746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58712" w14:textId="77777777" w:rsidR="0047465B" w:rsidRDefault="0047465B">
      <w:r>
        <w:separator/>
      </w:r>
    </w:p>
  </w:footnote>
  <w:footnote w:type="continuationSeparator" w:id="0">
    <w:p w14:paraId="0BD5C0E4" w14:textId="77777777" w:rsidR="0047465B" w:rsidRDefault="00474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9BCE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28C8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4304CBF"/>
    <w:multiLevelType w:val="hybridMultilevel"/>
    <w:tmpl w:val="F6523C22"/>
    <w:lvl w:ilvl="0" w:tplc="3C32AD0A">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B066F"/>
    <w:multiLevelType w:val="multilevel"/>
    <w:tmpl w:val="258E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930914">
    <w:abstractNumId w:val="0"/>
  </w:num>
  <w:num w:numId="2" w16cid:durableId="2050033475">
    <w:abstractNumId w:val="1"/>
  </w:num>
  <w:num w:numId="3" w16cid:durableId="1106266103">
    <w:abstractNumId w:val="2"/>
  </w:num>
  <w:num w:numId="4" w16cid:durableId="16913755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do Marco">
    <w15:presenceInfo w15:providerId="AD" w15:userId="S::baldo@fld.czu.cz::bea47c1a-6a9a-48da-9bb8-6979de3ed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513A"/>
    <w:rsid w:val="0047465B"/>
    <w:rsid w:val="00612434"/>
    <w:rsid w:val="00626F86"/>
    <w:rsid w:val="00A1513A"/>
    <w:rsid w:val="00BC3B27"/>
    <w:rsid w:val="00EC72AD"/>
    <w:rsid w:val="00EF0A13"/>
    <w:rsid w:val="00FA50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68EF8"/>
  <w15:docId w15:val="{D276AD55-4A7C-463C-AF3D-BAAD8A02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annotation text" w:uiPriority="99"/>
    <w:lsdException w:name="annotation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unhideWhenUsed/>
    <w:rsid w:val="00EF0A13"/>
    <w:pPr>
      <w:spacing w:after="160"/>
    </w:pPr>
    <w:rPr>
      <w:kern w:val="2"/>
      <w:sz w:val="20"/>
      <w:szCs w:val="20"/>
    </w:rPr>
  </w:style>
  <w:style w:type="character" w:customStyle="1" w:styleId="CommentTextChar">
    <w:name w:val="Comment Text Char"/>
    <w:basedOn w:val="DefaultParagraphFont"/>
    <w:link w:val="CommentText"/>
    <w:uiPriority w:val="99"/>
    <w:rsid w:val="00EF0A13"/>
    <w:rPr>
      <w:kern w:val="2"/>
      <w:sz w:val="20"/>
      <w:szCs w:val="20"/>
    </w:rPr>
  </w:style>
  <w:style w:type="character" w:styleId="CommentReference">
    <w:name w:val="annotation reference"/>
    <w:basedOn w:val="DefaultParagraphFont"/>
    <w:uiPriority w:val="99"/>
    <w:unhideWhenUsed/>
    <w:rsid w:val="00EF0A13"/>
    <w:rPr>
      <w:sz w:val="16"/>
      <w:szCs w:val="16"/>
    </w:rPr>
  </w:style>
  <w:style w:type="character" w:customStyle="1" w:styleId="BodyTextChar">
    <w:name w:val="Body Text Char"/>
    <w:basedOn w:val="DefaultParagraphFont"/>
    <w:link w:val="BodyText"/>
    <w:rsid w:val="00EF0A13"/>
  </w:style>
  <w:style w:type="character" w:styleId="FollowedHyperlink">
    <w:name w:val="FollowedHyperlink"/>
    <w:basedOn w:val="DefaultParagraphFont"/>
    <w:rsid w:val="00FA50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esearchgate.net/publication/323187860_MATHEMATICAL_BIOMASS_MODELS_FOR_YOUNG_INDIVIDUALS_OF_FOREST_TREE_SPECIES_IN_THE_REGION_OF_THE_WESTERN_CARPATHIAN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foreco.2023.121431" TargetMode="External"/><Relationship Id="rId18" Type="http://schemas.openxmlformats.org/officeDocument/2006/relationships/hyperlink" Target="https://www.mdpi.com/1999-4907/14/1/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github.com/baldomarco/Bottoms-Up/tree/main/STSM/Carbon" TargetMode="External"/><Relationship Id="rId17" Type="http://schemas.openxmlformats.org/officeDocument/2006/relationships/hyperlink" Target="https://www.mdpi.com/1999-4907/14/1/45" TargetMode="External"/><Relationship Id="rId2" Type="http://schemas.openxmlformats.org/officeDocument/2006/relationships/styles" Target="styles.xml"/><Relationship Id="rId16" Type="http://schemas.openxmlformats.org/officeDocument/2006/relationships/hyperlink" Target="https://www.seefor.eu/vol-15-no-2-de-meo-et-al-deadwood-diversity-of-boreal-and-sub-boreal-old-growth-forests-in-southern-finland.html" TargetMode="External"/><Relationship Id="rId20" Type="http://schemas.openxmlformats.org/officeDocument/2006/relationships/hyperlink" Target="https://doi.org/10.3390/f140100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foreco.2023.121431" TargetMode="External"/><Relationship Id="rId5" Type="http://schemas.openxmlformats.org/officeDocument/2006/relationships/footnotes" Target="footnotes.xml"/><Relationship Id="rId15" Type="http://schemas.openxmlformats.org/officeDocument/2006/relationships/hyperlink" Target="https://www.sciencedirect.com/science/article/pii/S0378112715003655"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016/j.foreco.2023.12143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baldomarco/Bottoms-Up/tree/main/STSM/Carbo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2360</Words>
  <Characters>13195</Characters>
  <Application>Microsoft Office Word</Application>
  <DocSecurity>0</DocSecurity>
  <Lines>399</Lines>
  <Paragraphs>239</Paragraphs>
  <ScaleCrop>false</ScaleCrop>
  <HeadingPairs>
    <vt:vector size="2" baseType="variant">
      <vt:variant>
        <vt:lpstr>Title</vt:lpstr>
      </vt:variant>
      <vt:variant>
        <vt:i4>1</vt:i4>
      </vt:variant>
    </vt:vector>
  </HeadingPairs>
  <TitlesOfParts>
    <vt:vector size="1" baseType="lpstr">
      <vt:lpstr>Carbon Pools in R</vt:lpstr>
    </vt:vector>
  </TitlesOfParts>
  <Company>Czech University of Life Sciences Prague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Pools in R</dc:title>
  <dc:creator>Marco Baldo</dc:creator>
  <cp:keywords/>
  <cp:lastModifiedBy>Baldo Marco</cp:lastModifiedBy>
  <cp:revision>3</cp:revision>
  <dcterms:created xsi:type="dcterms:W3CDTF">2024-04-05T05:31:00Z</dcterms:created>
  <dcterms:modified xsi:type="dcterms:W3CDTF">2025-05-12T15:25:00Z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2024-04-05</vt:lpwstr>
  </property>
  <property fmtid="{D5CDD505-2E9C-101B-9397-08002B2CF9AE}" pid="3" name="output">
    <vt:lpwstr/>
  </property>
  <property fmtid="{D5CDD505-2E9C-101B-9397-08002B2CF9AE}" pid="4" name="GrammarlyDocumentId">
    <vt:lpwstr>8c18efaea240fac63e091584ad70541c572f6c8c77b352ef14cb083d8ca82cb3</vt:lpwstr>
  </property>
</Properties>
</file>