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3733800" cy="1143000"/>
            <wp:effectExtent b="0" l="0" r="0" t="0"/>
            <wp:docPr descr="large_resin_logo.png" id="2" name="image5.png"/>
            <a:graphic>
              <a:graphicData uri="http://schemas.openxmlformats.org/drawingml/2006/picture">
                <pic:pic>
                  <pic:nvPicPr>
                    <pic:cNvPr descr="large_resin_logo.png" id="0" name="image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Document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General Documentation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Project Codename: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AMBER-PI-PLUS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0.9.0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Carlo Maria Curinga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b w:val="1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rtl w:val="0"/>
              </w:rPr>
              <w:t xml:space="preserve">State (Draft/Proposed/Approved)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rtl w:val="0"/>
              </w:rPr>
              <w:t xml:space="preserve">Proposed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10"/>
        </w:numPr>
        <w:spacing w:after="0" w:lineRule="auto"/>
        <w:ind w:left="720" w:hanging="360"/>
        <w:contextualSpacing w:val="1"/>
        <w:rPr>
          <w:rFonts w:ascii="Proxima Nova" w:cs="Proxima Nova" w:eastAsia="Proxima Nova" w:hAnsi="Proxima Nova"/>
          <w:sz w:val="42"/>
          <w:szCs w:val="42"/>
        </w:rPr>
      </w:pPr>
      <w:bookmarkStart w:colFirst="0" w:colLast="0" w:name="_itg0tlvje3q8" w:id="0"/>
      <w:bookmarkEnd w:id="0"/>
      <w:r w:rsidDel="00000000" w:rsidR="00000000" w:rsidRPr="00000000">
        <w:rPr>
          <w:rFonts w:ascii="Proxima Nova" w:cs="Proxima Nova" w:eastAsia="Proxima Nova" w:hAnsi="Proxima Nova"/>
          <w:sz w:val="42"/>
          <w:szCs w:val="42"/>
          <w:rtl w:val="0"/>
        </w:rPr>
        <w:t xml:space="preserve">Intro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highlight w:val="white"/>
          <w:rtl w:val="0"/>
        </w:rPr>
        <w:t xml:space="preserve">The scope of this project is to develop a production-ready device that could demonstrate the full potential of resin.io in 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highlight w:val="white"/>
          <w:rtl w:val="0"/>
        </w:rPr>
        <w:t xml:space="preserve">both the fast-prototyping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highlight w:val="white"/>
          <w:rtl w:val="0"/>
        </w:rPr>
        <w:t xml:space="preserve"> and light-Industrial field.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10"/>
        </w:numPr>
        <w:spacing w:after="0" w:lineRule="auto"/>
        <w:ind w:left="720" w:hanging="360"/>
        <w:contextualSpacing w:val="1"/>
        <w:rPr>
          <w:rFonts w:ascii="Proxima Nova" w:cs="Proxima Nova" w:eastAsia="Proxima Nova" w:hAnsi="Proxima Nova"/>
          <w:sz w:val="42"/>
          <w:szCs w:val="42"/>
        </w:rPr>
      </w:pPr>
      <w:bookmarkStart w:colFirst="0" w:colLast="0" w:name="_24utr2l5nopk" w:id="1"/>
      <w:bookmarkEnd w:id="1"/>
      <w:r w:rsidDel="00000000" w:rsidR="00000000" w:rsidRPr="00000000">
        <w:rPr>
          <w:rFonts w:ascii="Proxima Nova" w:cs="Proxima Nova" w:eastAsia="Proxima Nova" w:hAnsi="Proxima Nova"/>
          <w:sz w:val="42"/>
          <w:szCs w:val="42"/>
          <w:rtl w:val="0"/>
        </w:rPr>
        <w:t xml:space="preserve">Background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highlight w:val="white"/>
          <w:rtl w:val="0"/>
        </w:rPr>
        <w:t xml:space="preserve">In resin.io we were able to gather a very wide and valuable feedback from professionals. This assets is critical for the project, since puts resin.io in the position of knowing exactly the market demand.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highlight w:val="white"/>
          <w:rtl w:val="0"/>
        </w:rPr>
        <w:t xml:space="preserve">An interesting finding is that the resin.io platform is ahead of the hardware capabilities: the current hardware offering is holding users from being successful. Main issues are:</w:t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highlight w:val="white"/>
          <w:rtl w:val="0"/>
        </w:rPr>
        <w:t xml:space="preserve">On-board flash absent or too volatile (corruption, etc)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highlight w:val="white"/>
          <w:rtl w:val="0"/>
        </w:rPr>
        <w:t xml:space="preserve">Bad software support from OEMs</w:t>
      </w:r>
      <w:r w:rsidDel="00000000" w:rsidR="00000000" w:rsidRPr="00000000">
        <w:rPr>
          <w:rFonts w:ascii="Proxima Nova" w:cs="Proxima Nova" w:eastAsia="Proxima Nova" w:hAnsi="Proxima Nova"/>
          <w:sz w:val="21"/>
          <w:szCs w:val="21"/>
          <w:highlight w:val="white"/>
          <w:rtl w:val="0"/>
        </w:rPr>
        <w:t xml:space="preserve"> (kernel, device drivers)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highlight w:val="white"/>
          <w:rtl w:val="0"/>
        </w:rPr>
        <w:t xml:space="preserve">Uncertain guaranteed lifecycle and availability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highlight w:val="white"/>
          <w:rtl w:val="0"/>
        </w:rPr>
        <w:t xml:space="preserve">The need to add complexity to a device in order to satisfy requirements (HATs/Shields “frankenstein” setups)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highlight w:val="white"/>
          <w:rtl w:val="0"/>
        </w:rPr>
        <w:t xml:space="preserve">The end result of the hardware setup is often off the cost target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8"/>
        </w:numPr>
        <w:spacing w:after="0" w:lineRule="auto"/>
        <w:ind w:left="720" w:hanging="360"/>
        <w:contextualSpacing w:val="1"/>
        <w:rPr>
          <w:rFonts w:ascii="Proxima Nova" w:cs="Proxima Nova" w:eastAsia="Proxima Nova" w:hAnsi="Proxima Nova"/>
          <w:sz w:val="42"/>
          <w:szCs w:val="42"/>
        </w:rPr>
      </w:pPr>
      <w:bookmarkStart w:colFirst="0" w:colLast="0" w:name="_s0nucdszz9dg" w:id="2"/>
      <w:bookmarkEnd w:id="2"/>
      <w:r w:rsidDel="00000000" w:rsidR="00000000" w:rsidRPr="00000000">
        <w:rPr>
          <w:rFonts w:ascii="Proxima Nova" w:cs="Proxima Nova" w:eastAsia="Proxima Nova" w:hAnsi="Proxima Nova"/>
          <w:sz w:val="42"/>
          <w:szCs w:val="42"/>
          <w:rtl w:val="0"/>
        </w:rPr>
        <w:t xml:space="preserve">Target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highlight w:val="white"/>
          <w:rtl w:val="0"/>
        </w:rPr>
        <w:t xml:space="preserve">Project Amber aims to develop a device offering organized in 3 tiers: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1"/>
                <w:szCs w:val="21"/>
                <w:highlight w:val="white"/>
                <w:rtl w:val="0"/>
              </w:rPr>
              <w:t xml:space="preserve">Tier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1"/>
                <w:szCs w:val="21"/>
                <w:highlight w:val="white"/>
                <w:rtl w:val="0"/>
              </w:rPr>
              <w:t xml:space="preserve">Target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1"/>
                <w:szCs w:val="21"/>
                <w:highlight w:val="white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Starter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49$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highlight w:val="white"/>
                <w:rtl w:val="0"/>
              </w:rPr>
              <w:t xml:space="preserve">A simple, reliable platform that covers the basic needs from the maker community in MVP/Fast prototyping phases.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1"/>
                <w:szCs w:val="21"/>
                <w:highlight w:val="white"/>
                <w:rtl w:val="0"/>
              </w:rPr>
              <w:t xml:space="preserve">Plus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1"/>
                <w:szCs w:val="21"/>
                <w:highlight w:val="white"/>
                <w:rtl w:val="0"/>
              </w:rPr>
              <w:t xml:space="preserve">99$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highlight w:val="white"/>
                <w:rtl w:val="0"/>
              </w:rPr>
              <w:t xml:space="preserve">A solid and reliable platform with several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highlight w:val="white"/>
                <w:rtl w:val="0"/>
              </w:rPr>
              <w:t xml:space="preserve"> features embedded (sensors, I/O, co-processor, etc).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highlight w:val="white"/>
                <w:rtl w:val="0"/>
              </w:rPr>
              <w:t xml:space="preserve">This tier should be the way to go for prosumers, advanced makers and startups/companies that don’t require aggressive industrial specifications/certifications</w:t>
            </w: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0"/>
                <w:szCs w:val="20"/>
                <w:highlight w:val="white"/>
                <w:rtl w:val="0"/>
              </w:rPr>
              <w:t xml:space="preserve">.. This tier is expected to be the best-seller among the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Pro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199 - 299$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The Plus with Industry standard additions like: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RS232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RS485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CAN bus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Embedded 3G/4G modem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Industrial I/O connectors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Proxima Nova" w:cs="Proxima Nova" w:eastAsia="Proxima Nova" w:hAnsi="Proxima Nov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Alu case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12"/>
        </w:numPr>
        <w:spacing w:after="0" w:lineRule="auto"/>
        <w:ind w:left="720" w:hanging="360"/>
        <w:contextualSpacing w:val="1"/>
        <w:rPr>
          <w:rFonts w:ascii="Proxima Nova" w:cs="Proxima Nova" w:eastAsia="Proxima Nova" w:hAnsi="Proxima Nova"/>
          <w:sz w:val="42"/>
          <w:szCs w:val="42"/>
        </w:rPr>
      </w:pPr>
      <w:bookmarkStart w:colFirst="0" w:colLast="0" w:name="_z6mzhtn17zhs" w:id="3"/>
      <w:bookmarkEnd w:id="3"/>
      <w:r w:rsidDel="00000000" w:rsidR="00000000" w:rsidRPr="00000000">
        <w:rPr>
          <w:rFonts w:ascii="Proxima Nova" w:cs="Proxima Nova" w:eastAsia="Proxima Nova" w:hAnsi="Proxima Nova"/>
          <w:sz w:val="42"/>
          <w:szCs w:val="42"/>
          <w:rtl w:val="0"/>
        </w:rPr>
        <w:t xml:space="preserve">The 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highlight w:val="white"/>
          <w:rtl w:val="0"/>
        </w:rPr>
        <w:t xml:space="preserve">The chosen SoM (System on Module) is the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sz w:val="21"/>
            <w:szCs w:val="21"/>
            <w:highlight w:val="white"/>
            <w:u w:val="single"/>
            <w:rtl w:val="0"/>
          </w:rPr>
          <w:t xml:space="preserve">Raspberry Pi Compute Module 3 Lite (CM3L)</w:t>
        </w:r>
      </w:hyperlink>
      <w:r w:rsidDel="00000000" w:rsidR="00000000" w:rsidRPr="00000000">
        <w:rPr>
          <w:rFonts w:ascii="Proxima Nova" w:cs="Proxima Nova" w:eastAsia="Proxima Nova" w:hAnsi="Proxima Nova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1"/>
          <w:szCs w:val="21"/>
          <w:highlight w:val="white"/>
        </w:rPr>
        <w:drawing>
          <wp:inline distB="114300" distT="114300" distL="114300" distR="114300">
            <wp:extent cx="4431928" cy="2509838"/>
            <wp:effectExtent b="0" l="0" r="0" t="0"/>
            <wp:docPr descr="Schermata 2016-12-31 alle 17.31.35.png" id="1" name="image4.png"/>
            <a:graphic>
              <a:graphicData uri="http://schemas.openxmlformats.org/drawingml/2006/picture">
                <pic:pic>
                  <pic:nvPicPr>
                    <pic:cNvPr descr="Schermata 2016-12-31 alle 17.31.35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1928" cy="250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6"/>
        </w:numPr>
        <w:spacing w:after="0" w:lineRule="auto"/>
        <w:ind w:left="720" w:hanging="360"/>
        <w:contextualSpacing w:val="1"/>
        <w:rPr>
          <w:rFonts w:ascii="Proxima Nova" w:cs="Proxima Nova" w:eastAsia="Proxima Nova" w:hAnsi="Proxima Nova"/>
          <w:sz w:val="42"/>
          <w:szCs w:val="42"/>
        </w:rPr>
      </w:pPr>
      <w:bookmarkStart w:colFirst="0" w:colLast="0" w:name="_3l56jxasxp86" w:id="4"/>
      <w:bookmarkEnd w:id="4"/>
      <w:r w:rsidDel="00000000" w:rsidR="00000000" w:rsidRPr="00000000">
        <w:rPr>
          <w:rFonts w:ascii="Proxima Nova" w:cs="Proxima Nova" w:eastAsia="Proxima Nova" w:hAnsi="Proxima Nova"/>
          <w:sz w:val="42"/>
          <w:szCs w:val="42"/>
          <w:rtl w:val="0"/>
        </w:rPr>
        <w:t xml:space="preserve">The co-processor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 order to allow real-time operations, Analog and high-voltage handling and aggressive power-management, the Amber project will include a co-processor on (at least) the Plus and Pro tiers. The co-processor will be hooked to the Core via i2c.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The following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device was chosen for this scope based on price and requirements matching:</w:t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Samsung </w:t>
      </w:r>
      <w:hyperlink r:id="rId8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4"/>
            <w:szCs w:val="24"/>
            <w:u w:val="single"/>
            <w:rtl w:val="0"/>
          </w:rPr>
          <w:t xml:space="preserve">Artik 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numPr>
          <w:ilvl w:val="0"/>
          <w:numId w:val="5"/>
        </w:numPr>
        <w:spacing w:after="0" w:lineRule="auto"/>
        <w:ind w:left="720" w:hanging="360"/>
        <w:contextualSpacing w:val="1"/>
        <w:rPr>
          <w:rFonts w:ascii="Proxima Nova" w:cs="Proxima Nova" w:eastAsia="Proxima Nova" w:hAnsi="Proxima Nova"/>
          <w:sz w:val="42"/>
          <w:szCs w:val="42"/>
        </w:rPr>
      </w:pPr>
      <w:bookmarkStart w:colFirst="0" w:colLast="0" w:name="_ep2sr73zlfga" w:id="5"/>
      <w:bookmarkEnd w:id="5"/>
      <w:r w:rsidDel="00000000" w:rsidR="00000000" w:rsidRPr="00000000">
        <w:rPr>
          <w:rFonts w:ascii="Proxima Nova" w:cs="Proxima Nova" w:eastAsia="Proxima Nova" w:hAnsi="Proxima Nova"/>
          <w:sz w:val="42"/>
          <w:szCs w:val="42"/>
          <w:rtl w:val="0"/>
        </w:rPr>
        <w:t xml:space="preserve">The Carrier</w:t>
      </w:r>
      <w:r w:rsidDel="00000000" w:rsidR="00000000" w:rsidRPr="00000000">
        <w:rPr>
          <w:rFonts w:ascii="Proxima Nova" w:cs="Proxima Nova" w:eastAsia="Proxima Nova" w:hAnsi="Proxima Nova"/>
          <w:sz w:val="42"/>
          <w:szCs w:val="42"/>
          <w:rtl w:val="0"/>
        </w:rPr>
        <w:t xml:space="preserve">: Plus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roxima Nova" w:cs="Proxima Nova" w:eastAsia="Proxima Nova" w:hAnsi="Proxima Nova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At least 5 years since launch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Ideally within 80mm x 60mm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Temperature 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-25 to +80 degrees Celsius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Power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Proxima Nova" w:cs="Proxima Nova" w:eastAsia="Proxima Nova" w:hAnsi="Proxima Nov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From ~11</w:t>
            </w: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V</w:t>
            </w: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 to 24V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Proxima Nova" w:cs="Proxima Nova" w:eastAsia="Proxima Nova" w:hAnsi="Proxima Nov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1-2 cells LiPo Battery connector with embedded buck regulator, ups and I2C interface (level, status, events) [ suggestion: inspire from the </w:t>
            </w:r>
            <w:hyperlink r:id="rId9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BeagleBone Blue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RTC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>
                <w:rFonts w:ascii="Proxima Nova" w:cs="Proxima Nova" w:eastAsia="Proxima Nova" w:hAnsi="Proxima Nov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Yes, via co-processor, condenser-based (no coin-cell battery, best suited for industrial certifications and easy shipment)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Radio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Cyw4343w</w:t>
            </w: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 (same chip as rpi3) WiFi+BT combo with embedded antennae and uFL connectors for external antennae.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Ethernet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1 x RJ45 Ethernet port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Proxima Nova" w:cs="Proxima Nova" w:eastAsia="Proxima Nova" w:hAnsi="Proxima Nov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8GB emmc hooked to the CM3L SD/eMMC interface pins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I/O (CM3)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40-pin standard </w:t>
            </w:r>
            <w:hyperlink r:id="rId10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sz w:val="21"/>
                  <w:szCs w:val="21"/>
                  <w:highlight w:val="white"/>
                  <w:u w:val="single"/>
                  <w:rtl w:val="0"/>
                </w:rPr>
                <w:t xml:space="preserve">HAT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 connector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I/O (Artik020)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I2C, UART, SPI, Analog, protected </w:t>
            </w: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Digital</w:t>
            </w: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 Pins exposed with the same type of headers (male pass/through) used for the CM3L</w:t>
            </w: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, grouped by logic (Power, UARTs, I2Cs, and so on)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Sensors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rFonts w:ascii="Proxima Nova" w:cs="Proxima Nova" w:eastAsia="Proxima Nova" w:hAnsi="Proxima Nov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Humidity + Temperature </w:t>
            </w: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(via Artik020)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rFonts w:ascii="Proxima Nova" w:cs="Proxima Nova" w:eastAsia="Proxima Nova" w:hAnsi="Proxima Nov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Accelerometer + Gyroscope </w:t>
            </w: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 (via Artik020)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User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 x RGB LEDs </w:t>
            </w: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(via Artik020)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USB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>
                <w:rFonts w:ascii="Proxima Nova" w:cs="Proxima Nova" w:eastAsia="Proxima Nova" w:hAnsi="Proxima Nov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2 x Female type-A 2.0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Video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Proxima Nova" w:cs="Proxima Nova" w:eastAsia="Proxima Nova" w:hAnsi="Proxima Nov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Micro</w:t>
            </w: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 HDMI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Proxima Nova" w:cs="Proxima Nova" w:eastAsia="Proxima Nova" w:hAnsi="Proxima Nov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DSI DI5 (rpi display connector)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Video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>
                <w:rFonts w:ascii="Proxima Nova" w:cs="Proxima Nova" w:eastAsia="Proxima Nova" w:hAnsi="Proxima Nov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 x</w:t>
            </w: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 CSI camera connectors (rpi camera connector)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Expansion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>
                <w:rFonts w:ascii="Proxima Nova" w:cs="Proxima Nova" w:eastAsia="Proxima Nova" w:hAnsi="Proxima Nov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Embedded mPCIE controller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Debug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>
                <w:rFonts w:ascii="Proxima Nova" w:cs="Proxima Nova" w:eastAsia="Proxima Nova" w:hAnsi="Proxima Nov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Serialport exposed via HAT headers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rFonts w:ascii="Proxima Nova" w:cs="Proxima Nova" w:eastAsia="Proxima Nova" w:hAnsi="Proxima Nov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Boot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ind w:left="720" w:hanging="360"/>
              <w:contextualSpacing w:val="0"/>
              <w:rPr>
                <w:rFonts w:ascii="Proxima Nova" w:cs="Proxima Nova" w:eastAsia="Proxima Nova" w:hAnsi="Proxima Nova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1"/>
                <w:szCs w:val="21"/>
                <w:highlight w:val="white"/>
                <w:rtl w:val="0"/>
              </w:rPr>
              <w:t xml:space="preserve">micro-USB slave port with switch (same as CM3 evaluation board)</w:t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1hj037tvi61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j3csj2cpjlx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kym7huade6g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mezvrv2fkdmm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m429cdptzn4p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t8ojya40stvm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cj7v5glhug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u308283j2kag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1a99moyxban7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5n0tk6zft4yl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5irstqz9sppm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2d0ez0h2f1j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44vl1vz2daq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5tr9o9wcv8s2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tqn356sv5nmm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l8ps5a39nh0m" w:id="21"/>
      <w:bookmarkEnd w:id="21"/>
      <w:r w:rsidDel="00000000" w:rsidR="00000000" w:rsidRPr="00000000">
        <w:rPr>
          <w:rtl w:val="0"/>
        </w:rPr>
        <w:t xml:space="preserve">Expected Use Cases (general)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Device acts as a ROV / Drone logic unit, controlling sensors, motors (usually 6V+, brushed and brushless vie ESC ) powered by 2-cells LiPo batteries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Co-processor takes care of basic functioning like stabilization, flight/flow controller and motors/sensors abstracted interface for the core (CM3L)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Core takes care of high-level edge-computing tasks like data processing, machine vision, etc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Device acts as a stand-alone data hub device, powered via solar panels with a 1-cell LiPo battery backup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SCENARIO1: Co-processor is always on, gathers data from sensors, every X hours boots the Core, passes data to be sent to the cloud and shuts it down again with an ACK-based protocol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SCENARIO2: Core gathers data from an hybrid set of sensors (some exposed via Co-processor, some connected to it directly) every X hours, sends data to the cloud and asks the Co-processor to shut itself down scheduling a boot in the next X hours when done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Device acts as a Digital Signage gateway, reproducing web/multimedia interactive content on a screen, while managing sensors and actuators like proximity, cameras, LED strips, etc.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Co-processor handles analog and heavy interfaces like plain LED strips (12V) so user doesn’t need to add logic converters or additional shields to the board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Core is always or often connected to the user’s backend, syncing content and analytics, while exposing an HMI solution. It asks the Co-processor to shut itself down (and ideally the display via HDMI-CEC or RELAY) during the closing hours of the venue and boot itself up again at opening.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Device acts as main/controlling unit for sophisticated machines like 3d-printers, laser-cutters, harvesters, CNCs, looms, etc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Co-processor acts as the mechanical controller - all the business critical logic is handled by itself (ie in the 3dprinter case, it controls the stepper motors an all the parts) - the machine still makes sense and works (but not in a smart way) if you reduce the setup to the co-processor only.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Core acts as an abstractor/extender for the Co-processor by adding functionality on top of it like video feed, remote management, diagnostic, etc ( in the 3dprinter case, the Core adds Wireless control, remote files upload, print video feed and queue management)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5k2fkw75rg7b" w:id="22"/>
      <w:bookmarkEnd w:id="22"/>
      <w:r w:rsidDel="00000000" w:rsidR="00000000" w:rsidRPr="00000000">
        <w:rPr>
          <w:rtl w:val="0"/>
        </w:rPr>
        <w:t xml:space="preserve">Ecosystem Use Cases (amber+resin added value)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center"/>
      <w:rPr/>
    </w:pPr>
    <w:r w:rsidDel="00000000" w:rsidR="00000000" w:rsidRPr="00000000">
      <w:rPr/>
      <w:drawing>
        <wp:inline distB="114300" distT="114300" distL="114300" distR="114300">
          <wp:extent cx="1452563" cy="447414"/>
          <wp:effectExtent b="0" l="0" r="0" t="0"/>
          <wp:docPr descr="large_resin_logo.png" id="3" name="image6.png"/>
          <a:graphic>
            <a:graphicData uri="http://schemas.openxmlformats.org/drawingml/2006/picture">
              <pic:pic>
                <pic:nvPicPr>
                  <pic:cNvPr descr="large_resin_logo.png" id="0" name="image6.png"/>
                  <pic:cNvPicPr preferRelativeResize="0"/>
                </pic:nvPicPr>
                <pic:blipFill>
                  <a:blip r:embed="rId1">
                    <a:alphaModFix amt="50000"/>
                  </a:blip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52563" cy="44741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6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5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4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s://github.com/raspberrypi/hats" TargetMode="External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jadonk/beaglebone-blue" TargetMode="External"/><Relationship Id="rId14" Type="http://schemas.openxmlformats.org/officeDocument/2006/relationships/footer" Target="footer1.xml"/><Relationship Id="rId5" Type="http://schemas.openxmlformats.org/officeDocument/2006/relationships/image" Target="media/image5.png"/><Relationship Id="rId6" Type="http://schemas.openxmlformats.org/officeDocument/2006/relationships/hyperlink" Target="https://www.raspberrypi.org/products/compute-module-3-lite/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www.artik.io/modules/artik-020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