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005BAC"/>
          <w:sz w:val="48"/>
          <w:szCs w:val="48"/>
        </w:rPr>
        <w:t xml:space="preserve">FSG 월간 서비스 활동 보고서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00B8EE"/>
          <w:sz w:val="26"/>
          <w:szCs w:val="26"/>
        </w:rPr>
        <w:t xml:space="preserve">2026년 7월 · FS Group / FSS Team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개요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본 보고서는 2026년 7월 FS Group(FS East/West/South/Central) 및 FSS Team의 서비스 활동 실적, VOC 수집·처리 현황, 중대 이슈 대응, 대리점·직원 교육 현황을 고객 중심(Customer-Centric) 관점에서 정리한 월간 보고서입니다.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보고 목적: 경영진(FSG 리더십)에게 현장 서비스 활동과 고객 접점 품질을 공유하고, 특이사항 및 향후 계획에 대한 의사결정을 지원합니다.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※ 본 문서는 틀(骨格)만 작성된 초안이며, 팀별 실적 데이터와 VOC 대시보드 연동 데이터는 자료 확보 후 업데이트됩니다.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서비스 활동 보고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팀별 설치, PM(예방점검), A/S(고장수리) 처리 건수 및 KPI 요약입니다.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600"/>
        <w:gridCol w:w="1500"/>
        <w:gridCol w:w="1500"/>
        <w:gridCol w:w="1500"/>
        <w:gridCol w:w="1500"/>
      </w:tblGrid>
      <w:tr>
        <w:tc>
          <w:tcPr>
            <w:tcW w:type="dxa" w:w="19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팀</w:t>
            </w:r>
          </w:p>
        </w:tc>
        <w:tc>
          <w:tcPr>
            <w:tcW w:type="dxa" w:w="1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리더</w:t>
            </w:r>
          </w:p>
        </w:tc>
        <w:tc>
          <w:tcPr>
            <w:tcW w:type="dxa" w:w="1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설치</w:t>
            </w:r>
          </w:p>
        </w:tc>
        <w:tc>
          <w:tcPr>
            <w:tcW w:type="dxa" w:w="1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A/S</w:t>
            </w:r>
          </w:p>
        </w:tc>
        <w:tc>
          <w:tcPr>
            <w:tcW w:type="dxa" w:w="1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합계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FS East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Gray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FS West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Huymori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FS South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John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FS Central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Eden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</w:tr>
      <w:tr>
        <w:tc>
          <w:tcPr>
            <w:tcW w:type="dxa" w:w="1900"/>
            <w:shd w:fill="EAF1F8" w:color="auto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3F3F3F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3F3F3F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15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설치 건수는 신규 설치 기준(설치일정 관리 시트). 이전설치 4건 (FS East 3 · FS West 1), 장비 설치평가 4건 (SA팀 진행, FS팀 실적과 별도 집계)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2600"/>
      </w:tblGrid>
      <w:tr>
        <w:tc>
          <w:tcPr>
            <w:tcW w:type="dxa" w:w="3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이번 기간 실적</w:t>
            </w:r>
          </w:p>
        </w:tc>
        <w:tc>
          <w:tcPr>
            <w:tcW w:type="dxa" w:w="2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재방문율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15% 이하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Uptime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90% 이상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FTFR (First Time Fix Rate)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참고 지표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책임 배정율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장비별 설치 현황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팀 구분 없이 모델(시리즈) 기준으로 집계한 설치 현황입니다. (2026년 7월 설치+이전설치 전체 16건)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2000"/>
        <w:gridCol w:w="2000"/>
      </w:tblGrid>
      <w:tr>
        <w:tc>
          <w:tcPr>
            <w:tcW w:type="dxa" w:w="4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 모델(시리즈)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XR 시리즈 (Hematology)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XN 시리즈 (Hematology)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CA 시리즈 (Coagulation)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UN/UC 시리즈 (Urine)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SP/DI 시리즈 (도말표본)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000"/>
            <w:shd w:fill="EAF1F8" w:color="auto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F3F3F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F3F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shd w:fill="EAF1F8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F3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데이터 소스: 설치일정 관리 시트 (2026년 7월, 설치+이전설치 전체 대상, 원본 모델명을 시리즈 단위로 그룹핑)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서비스 케이스 분석 – 추이 및 지수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CRM 서비스 케이스 데이터, 최근 1년 누적 기준입니다. (월간 서비스 활동 실적과 별도 참고 지표)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월별 Service Case 추이: 최고 2026년 6월 2,425건, 최저 2026년 2월 1,449건 — 지속적인 증가·변동 추세를 보입니다.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서비스 목적별 비율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2500"/>
        <w:gridCol w:w="1500"/>
      </w:tblGrid>
      <w:tr>
        <w:tc>
          <w:tcPr>
            <w:tcW w:type="dxa" w:w="4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 목적</w:t>
            </w:r>
          </w:p>
        </w:tc>
        <w:tc>
          <w:tcPr>
            <w:tcW w:type="dxa" w:w="2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5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고장 수리 (Breakdown Repair)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15,149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37.9%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PM (정기 점검)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14,904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37.3%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5,699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기타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10.6%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예방정비 지수(PM Ratio) = PM건수 ÷ (PM+고장수리) × 100 = 49.6%. PM과 고장수리 비율이 팽팽히 맞서고 있어, 예방점검 품질을 높여 사후 고장수리 비율을 낮추는 전략이 필요합니다.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주요 고객 및 장애 분석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CRM 서비스 케이스 데이터, 최근 1년 누적 기준입니다.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병원 TOP 5 (서비스 활동 기준)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5000"/>
        <w:gridCol w:w="2300"/>
      </w:tblGrid>
      <w:tr>
        <w:tc>
          <w:tcPr>
            <w:tcW w:type="dxa" w:w="1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5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기관명</w:t>
            </w:r>
          </w:p>
        </w:tc>
        <w:tc>
          <w:tcPr>
            <w:tcW w:type="dxa" w:w="23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의료법인녹십자의료재단 (용인)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1,464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서울의과학연구소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909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서울아산병원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775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이원의료재단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710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씨젠의료재단 (서울)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689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반복 장애 장비 TOP 3 (Proactive Service 1순위 대상)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000"/>
      </w:tblGrid>
      <w:tr>
        <w:tc>
          <w:tcPr>
            <w:tcW w:type="dxa" w:w="4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S/N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S/N 15032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S/N 14982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S/N 15031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54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TOP3 장비가 전체 고장수리(15,149건)의 1.3%를 차지 — 즉각 정밀진단 및 부품 교체 우선 검토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주요 장애 요인 (Top Errors, '기타' 제외)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000"/>
      </w:tblGrid>
      <w:tr>
        <w:tc>
          <w:tcPr>
            <w:tcW w:type="dxa" w:w="4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장애 요인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Data 불량 (QC)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514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RBC/HGB chamber not draining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166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Chamber move error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159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Water leak detected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156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엔지니어 생산성 TOP 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600"/>
        <w:gridCol w:w="1800"/>
        <w:gridCol w:w="1800"/>
        <w:gridCol w:w="1200"/>
      </w:tblGrid>
      <w:tr>
        <w:tc>
          <w:tcPr>
            <w:tcW w:type="dxa" w:w="1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8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작업시간</w:t>
            </w:r>
          </w:p>
        </w:tc>
        <w:tc>
          <w:tcPr>
            <w:tcW w:type="dxa" w:w="18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고장수리%</w:t>
            </w:r>
          </w:p>
        </w:tc>
        <w:tc>
          <w:tcPr>
            <w:tcW w:type="dxa" w:w="1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PM%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이인구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1727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2760h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44.4%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37.6%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조수호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1469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2081h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19.7%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49.4%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김태현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1409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2101h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29.7%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37.2%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박석영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1397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2005h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31.6%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49.9%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이준민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1391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2713h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30.9%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45%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데이터 소스: CRM 약속·활동 로그 (담당자·시작/종료시간 기준, 취소 건 제외)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장비별 에러율 분석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CRM 약속·활동 로그 40,000건 원자료 직접 집계 (취소 건 제외). 에러율 = 고장 수리 건수 ÷ 전체 서비스 활동 건수 × 100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000"/>
        <w:gridCol w:w="1600"/>
      </w:tblGrid>
      <w:tr>
        <w:tc>
          <w:tcPr>
            <w:tcW w:type="dxa" w:w="3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장비군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전체 활동</w:t>
            </w:r>
          </w:p>
        </w:tc>
        <w:tc>
          <w:tcPr>
            <w:tcW w:type="dxa" w:w="20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고장 수리</w:t>
            </w:r>
          </w:p>
        </w:tc>
        <w:tc>
          <w:tcPr>
            <w:tcW w:type="dxa" w:w="1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에러율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SP (Slide Preparation)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4,436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3,233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72.9%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CN (Coagulation)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2,095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1,038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49.5%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HISCL (Immunoassay)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481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152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31.6%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XN/XR (Hematology)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19,119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5,292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F3F3F"/>
                <w:sz w:val="20"/>
                <w:szCs w:val="20"/>
              </w:rPr>
              <w:t xml:space="preserve">27.7%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Insight: SP(도말표본 제작 장비) 계열의 에러율이 72.9%로 가장 높아 전체 서비스 활동의 대부분이 고장 수리로 발생하고 있습니다. CN(응고) 계열도 49.5%로 절반 수준이며, XN/XR(혈액) 계열은 27.7%로 상대적으로 안정적입니다. SP·CN 계열 우선 예방정비 강화가 필요합니다.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VOC 수집 정보 및 처리현황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고객(병원) 대상 방문 서비스 만족도 조사 자동 분석 시스템(Google Forms + Apps Script)의 해당 기간 리포트를 소스로 합니다. 팀별/개인별(FSR)/직급별/지역별/서비스형태별/장비모델별 집계와 월별 추이를 자동 제공합니다.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응답 건수: 자료 미제공 – 추후 업데이트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평가 항목 평균 점수 (①신속성·일정 ②전문성·문제해결 ③고객응대·마무리): 자료 미제공 – 추후 업데이트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서술형 의견 분류 (심각·개선요청·칭찬·단순의견): 자료 미제공 – 추후 업데이트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VOC 처리현황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800"/>
        <w:gridCol w:w="3200"/>
      </w:tblGrid>
      <w:tr>
        <w:tc>
          <w:tcPr>
            <w:tcW w:type="dxa" w:w="26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 상태</w:t>
            </w:r>
          </w:p>
        </w:tc>
        <w:tc>
          <w:tcPr>
            <w:tcW w:type="dxa" w:w="18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3200"/>
            <w:shd w:fill="005BAC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처리완료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처리중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>미처리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9E9E9E"/>
                <w:sz w:val="20"/>
                <w:szCs w:val="20"/>
              </w:rPr>
              <w:t xml:space="preserve">자료 미제공 – 추후 업데이트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F3F3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중대 이슈 처리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VOC 레드 플래그 시스템: 평가 2점 이하 또는 서술형 "심각" 분류 건을 즉시 감지 → 분야별 전문가 TFT 구성 → SLA(1차 컨택 24~48시간) 내 처리하여 신뢰를 회복하는 프로세스입니다.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해당 기간 접수·조치·종결 현황입니다.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자료 미제공 – 추후 업데이트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대리점 교육 등 처리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대리점(에이전시) 대상 기술 교육, 서비스 프로세스 안내 등 처리 현황입니다.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9E9E9E"/>
          <w:sz w:val="22"/>
          <w:szCs w:val="22"/>
        </w:rPr>
        <w:t xml:space="preserve">자료 미제공 – 추후 업데이트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직원교육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Sysmex Technical Academy(주니어 레벨 빠른 성장 및 Expert Engineer 육성), Working Group(Hema/Urine/Coa/Immuno 4개 분야 전문성 강화) 등 사내 교육·그룹 활동 진행 현황입니다.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Technical Academy: 자료 미제공 – 추후 업데이트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Working Group: 자료 미제공 – 추후 업데이트</w:t>
      </w:r>
    </w:p>
    <w:p>
      <w:pPr>
        <w:pStyle w:val="Heading1"/>
        <w:pBdr>
          <w:bottom w:val="single" w:color="005BA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B8EE"/>
          <w:sz w:val="30"/>
          <w:szCs w:val="3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005BAC"/>
          <w:sz w:val="30"/>
          <w:szCs w:val="30"/>
        </w:rPr>
        <w:t xml:space="preserve">고객 중심 서비스 총평 및 Next Step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VOC 대응, 중대 이슈 대응력, 대리점·직원 역량 강화 관점에서 이번 기간 서비스 활동을 종합합니다.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고객 중심 Insight: 설치일정 CRM 데이터 분석 결과(2026년 7월), 강남차병원·강남차여성병원 프로젝트(XR-9000/XR-1000)는 담당 엔지니어(Martin)가 설치 → 평가 지원 → 이전설치까지 4건을 연속 담당해 책임 담당제의 고객 연속성을 보여주는 우수 사례입니다. 설치·이전설치 평균 소요기간은 1.25일로 신속하게 처리되었으나, FS South팀은 7월 설치 실적 0건으로 팀간 업무량 편차 확인이 필요합니다.</w:t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Next Step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8월 설치 파이프라인 대응: 설치일정 CRM 기준 8월 예정 16건(설치 9 · 평가 5 · 이전설치 2) 사전 리소스 배정 및 일정 조율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FS South팀 업무량 편차 점검: 7월 설치 실적 0건 원인 파악 후 8월 배정 검토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책임 담당제 우수 사례 확산: 강남차병원 사례(담당 엔지니어 연속 대응)를 타 팀 벤치마킹 사례로 공유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algun Gothic" w:cs="Malgun Gothic" w:eastAsia="Malgun Gothic" w:hAnsi="Malgun Gothic"/>
          <w:color w:val="3F3F3F"/>
          <w:sz w:val="22"/>
          <w:szCs w:val="22"/>
        </w:rPr>
        <w:t xml:space="preserve">미확보 데이터 확보: PM·A/S 실적, VOC 대시보드 연동 데이터 확보하여 다음 보고 시 KPI·VOC 항목 완성</w:t>
      </w:r>
    </w:p>
    <w:p>
      <w:pPr>
        <w:pBdr>
          <w:top w:val="single" w:color="9E9E9E" w:sz="4" w:space="8"/>
        </w:pBdr>
        <w:spacing w:before="600"/>
      </w:pPr>
      <w:r>
        <w:rPr>
          <w:rFonts w:ascii="Malgun Gothic" w:cs="Malgun Gothic" w:eastAsia="Malgun Gothic" w:hAnsi="Malgun Gothic"/>
          <w:color w:val="9E9E9E"/>
          <w:sz w:val="16"/>
          <w:szCs w:val="16"/>
        </w:rPr>
        <w:t xml:space="preserve">FS Group │ FSS Team · 2026년 7월 ·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2026-07-21T06:54:15.969Z</dcterms:created>
  <dcterms:modified xsi:type="dcterms:W3CDTF">2026-07-21T06:54:15.970Z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