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SLA 월별 추이 (24시간 이내 해결 비율)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월</w:t>
            </w:r>
          </w:p>
        </w:tc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SLA 준수율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2025-08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2025-09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2025-10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2025-11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25.8%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2025-12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23.2%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2026-01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2026-02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2026-03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2026-04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39.3%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2026-05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31.3%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2026-06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2026-07*</w:t>
            </w:r>
          </w:p>
        </w:tc>
        <w:tc>
          <w:tcPr>
            <w:tcW w:type="dxa" w:w="3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44.1%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SLA = 서비스 케이스 생성~해결 소요 24시간 이내 비율 (CRM 서비스 케이스 로그). *2026-07은 21일까지 잠정치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월간 트렌드 비교 – 조직개편 영향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케이스·약속활동 로그, 2026년 1~6월 직접 집계입니다. 4월 조직개편(기술/학술 분리) 전후를 비교합니다.</w:t>
      </w:r>
    </w:p>
    <w:tbl>
      <w:tblPr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1,621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2,201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2,109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1,744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473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vs 개편 후(4~6월 평균)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후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증감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1,757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2,093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671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예방정비 지수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54.3%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+2.1%p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6월 하이라이트 (전년 동월 대비)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'25.6월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'26.6월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YoY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+69%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1,324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2,062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+56%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467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+42%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+81%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조직개편(4월) 이후 방문·PM건수가 개편 전 대비 각각 19%, 19% 증가했고 예방정비 지수도 소폭 개선(+2.1%p)되어 예방 중심 활동이 늘었습니다. 6월은 PM건수가 전년 동월 대비 +80.8% 급증(전체 활동 최고치)한 반면 수리건수 증가(+42.4%)는 상대적으로 완만해, 예방점검 확대 효과로 해석됩니다.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스케쥴러 데이터 분석 결과(2026년 7월), 강남차병원·강남차여성병원 프로젝트(XR-9000/XR-1000)는 담당 엔지니어(김세진)가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스케쥴러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2026-07-21T08:32:08.603Z</dcterms:created>
  <dcterms:modified xsi:type="dcterms:W3CDTF">2026-07-21T08:32:08.603Z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