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Malgun Gothic" w:cs="Malgun Gothic" w:eastAsia="Malgun Gothic" w:hAnsi="Malgun Gothic"/>
          <w:b/>
          <w:bCs/>
          <w:color w:val="005BAC"/>
          <w:sz w:val="48"/>
          <w:szCs w:val="48"/>
        </w:rPr>
        <w:t xml:space="preserve">FSG 월간 서비스 활동 보고서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color w:val="00B8EE"/>
          <w:sz w:val="26"/>
          <w:szCs w:val="26"/>
        </w:rPr>
        <w:t xml:space="preserve">2026년 7월 · FS Group / FSS Team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개요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본 보고서는 2026년 7월 FS Group(FS East/West/South/Central) 및 FSS Team의 서비스 활동 실적, VOC 수집·처리 현황, 중대 이슈 대응, 대리점·직원 교육 현황을 고객 중심(Customer-Centric) 관점에서 정리한 월간 보고서입니다.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보고 목적: 경영진(FSG 리더십)에게 현장 서비스 활동과 고객 접점 품질을 공유하고, 특이사항 및 향후 계획에 대한 의사결정을 지원합니다.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※ 본 문서는 틀(骨格)만 작성된 초안이며, 팀별 실적 데이터와 VOC 대시보드 연동 데이터는 자료 확보 후 업데이트됩니다.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서비스 활동 보고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팀별 설치, PM(예방점검), A/S(고장수리) 처리 건수 및 KPI 요약입니다.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1300"/>
        <w:gridCol w:w="1000"/>
        <w:gridCol w:w="1500"/>
        <w:gridCol w:w="1500"/>
        <w:gridCol w:w="1500"/>
        <w:gridCol w:w="1500"/>
      </w:tblGrid>
      <w:tr>
        <w:tc>
          <w:tcPr>
            <w:tcW w:type="dxa" w:w="1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팀</w:t>
            </w:r>
          </w:p>
        </w:tc>
        <w:tc>
          <w:tcPr>
            <w:tcW w:type="dxa" w:w="13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리더</w:t>
            </w:r>
          </w:p>
        </w:tc>
        <w:tc>
          <w:tcPr>
            <w:tcW w:type="dxa" w:w="1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인원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설치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PM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A/S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합계</w:t>
            </w:r>
          </w:p>
        </w:tc>
      </w:tr>
      <w:tr>
        <w:tc>
          <w:tcPr>
            <w:tcW w:type="dxa" w:w="1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FS East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김병우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11명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5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</w:tr>
      <w:tr>
        <w:tc>
          <w:tcPr>
            <w:tcW w:type="dxa" w:w="1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FS West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허석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12명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</w:tr>
      <w:tr>
        <w:tc>
          <w:tcPr>
            <w:tcW w:type="dxa" w:w="1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FS South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성기홍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11명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0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</w:tr>
      <w:tr>
        <w:tc>
          <w:tcPr>
            <w:tcW w:type="dxa" w:w="1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FS Central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정근하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10명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</w:tr>
      <w:tr>
        <w:tc>
          <w:tcPr>
            <w:tcW w:type="dxa" w:w="1600"/>
            <w:shd w:fill="EAF1F8" w:color="auto" w:val="clea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3F3F3F"/>
                <w:sz w:val="20"/>
                <w:szCs w:val="20"/>
              </w:rPr>
              <w:t xml:space="preserve">합계</w:t>
            </w:r>
          </w:p>
        </w:tc>
        <w:tc>
          <w:tcPr>
            <w:tcW w:type="dxa" w:w="13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3F3F3F"/>
                <w:sz w:val="20"/>
                <w:szCs w:val="20"/>
              </w:rPr>
              <w:t xml:space="preserve">44명</w:t>
            </w:r>
          </w:p>
        </w:tc>
        <w:tc>
          <w:tcPr>
            <w:tcW w:type="dxa" w:w="15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3F3F3F"/>
                <w:sz w:val="20"/>
                <w:szCs w:val="20"/>
              </w:rPr>
              <w:t xml:space="preserve">12</w:t>
            </w:r>
          </w:p>
        </w:tc>
        <w:tc>
          <w:tcPr>
            <w:tcW w:type="dxa" w:w="15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</w:tr>
    </w:tbl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팀장·인원수는 work-schedule.html 로스터 기준. 설치 건수는 신규 설치 기준(설치일정 관리 시트). 이전설치 4건 (FS East 3 · FS West 1), 장비 설치평가 4건 (SA팀 진행, FS팀 실적과 별도 집계)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3200"/>
        <w:gridCol w:w="2600"/>
      </w:tblGrid>
      <w:tr>
        <w:tc>
          <w:tcPr>
            <w:tcW w:type="dxa" w:w="3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KPI</w:t>
            </w:r>
          </w:p>
        </w:tc>
        <w:tc>
          <w:tcPr>
            <w:tcW w:type="dxa" w:w="3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이번 기간 실적</w:t>
            </w:r>
          </w:p>
        </w:tc>
        <w:tc>
          <w:tcPr>
            <w:tcW w:type="dxa" w:w="2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목표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재방문율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15% 이하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Uptime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90% 이상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FTFR (First Time Fix Rate)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참고 지표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책임 배정율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100%</w:t>
            </w:r>
          </w:p>
        </w:tc>
      </w:tr>
    </w:tbl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장비별 설치 현황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팀 구분 없이 모델(시리즈) 기준으로 집계한 설치 현황입니다. (2026년 7월 설치+이전설치 전체 16건)</w:t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00"/>
        <w:gridCol w:w="2000"/>
        <w:gridCol w:w="2000"/>
      </w:tblGrid>
      <w:tr>
        <w:tc>
          <w:tcPr>
            <w:tcW w:type="dxa" w:w="4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장비 모델(시리즈)</w:t>
            </w:r>
          </w:p>
        </w:tc>
        <w:tc>
          <w:tcPr>
            <w:tcW w:type="dxa" w:w="2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건수</w:t>
            </w:r>
          </w:p>
        </w:tc>
        <w:tc>
          <w:tcPr>
            <w:tcW w:type="dxa" w:w="2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비중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XR 시리즈 (Hematology)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7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44%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XN 시리즈 (Hematology)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31%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CA 시리즈 (Coagulation)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13%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UN/UC 시리즈 (Urine)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6%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SP/DI 시리즈 (도말표본)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6%</w:t>
            </w:r>
          </w:p>
        </w:tc>
      </w:tr>
      <w:tr>
        <w:tc>
          <w:tcPr>
            <w:tcW w:type="dxa" w:w="4000"/>
            <w:shd w:fill="EAF1F8" w:color="auto" w:val="clea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F3F3F"/>
                <w:sz w:val="20"/>
                <w:szCs w:val="20"/>
              </w:rPr>
              <w:t xml:space="preserve">합계</w:t>
            </w:r>
          </w:p>
        </w:tc>
        <w:tc>
          <w:tcPr>
            <w:tcW w:type="dxa" w:w="20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F3F3F"/>
                <w:sz w:val="20"/>
                <w:szCs w:val="20"/>
              </w:rPr>
              <w:t xml:space="preserve">16</w:t>
            </w:r>
          </w:p>
        </w:tc>
        <w:tc>
          <w:tcPr>
            <w:tcW w:type="dxa" w:w="20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F3F3F"/>
                <w:sz w:val="20"/>
                <w:szCs w:val="20"/>
              </w:rPr>
              <w:t xml:space="preserve">100%</w:t>
            </w:r>
          </w:p>
        </w:tc>
      </w:tr>
    </w:tbl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데이터 소스: 설치일정 관리 시트 (2026년 7월, 설치+이전설치 전체 대상, 원본 모델명을 시리즈 단위로 그룹핑)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4.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서비스 케이스 분석 – 추이 및 지수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CRM 서비스 케이스 데이터, 최근 1년 누적 기준입니다. (월간 서비스 활동 실적과 별도 참고 지표)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월별 Service Case 추이: 최고 2026년 6월 2,425건, 최저 2026년 2월 1,449건 — 지속적인 증가·변동 추세를 보입니다.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서비스 목적별 비율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00"/>
        <w:gridCol w:w="2500"/>
        <w:gridCol w:w="1500"/>
      </w:tblGrid>
      <w:tr>
        <w:tc>
          <w:tcPr>
            <w:tcW w:type="dxa" w:w="4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서비스 목적</w:t>
            </w:r>
          </w:p>
        </w:tc>
        <w:tc>
          <w:tcPr>
            <w:tcW w:type="dxa" w:w="2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건수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비중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고장 수리 (Breakdown Repair)</w:t>
            </w:r>
          </w:p>
        </w:tc>
        <w:tc>
          <w:tcPr>
            <w:tcW w:type="dxa" w:w="2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15,149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37.9%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PM (정기 점검)</w:t>
            </w:r>
          </w:p>
        </w:tc>
        <w:tc>
          <w:tcPr>
            <w:tcW w:type="dxa" w:w="2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14,904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37.3%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Calibration</w:t>
            </w:r>
          </w:p>
        </w:tc>
        <w:tc>
          <w:tcPr>
            <w:tcW w:type="dxa" w:w="2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5,699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14.2%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기타</w:t>
            </w:r>
          </w:p>
        </w:tc>
        <w:tc>
          <w:tcPr>
            <w:tcW w:type="dxa" w:w="2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-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10.6%</w:t>
            </w:r>
          </w:p>
        </w:tc>
      </w:tr>
    </w:tbl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예방정비 지수(PM Ratio) = PM건수 ÷ (PM+고장수리) × 100 = 49.6%. PM과 고장수리 비율이 팽팽히 맞서고 있어, 예방점검 품질을 높여 사후 고장수리 비율을 낮추는 전략이 필요합니다.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5.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주요 고객 및 장애 분석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CRM 서비스 케이스 데이터, 최근 1년 누적 기준입니다.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병원 TOP 5 (서비스 활동 기준)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00"/>
        <w:gridCol w:w="5000"/>
        <w:gridCol w:w="2300"/>
      </w:tblGrid>
      <w:tr>
        <w:tc>
          <w:tcPr>
            <w:tcW w:type="dxa" w:w="1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순위</w:t>
            </w:r>
          </w:p>
        </w:tc>
        <w:tc>
          <w:tcPr>
            <w:tcW w:type="dxa" w:w="5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기관명</w:t>
            </w:r>
          </w:p>
        </w:tc>
        <w:tc>
          <w:tcPr>
            <w:tcW w:type="dxa" w:w="23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건수</w:t>
            </w:r>
          </w:p>
        </w:tc>
      </w:tr>
      <w:tr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</w:t>
            </w:r>
          </w:p>
        </w:tc>
        <w:tc>
          <w:tcPr>
            <w:tcW w:type="dxa" w:w="5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의료법인녹십자의료재단 (용인)</w:t>
            </w:r>
          </w:p>
        </w:tc>
        <w:tc>
          <w:tcPr>
            <w:tcW w:type="dxa" w:w="2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1,464</w:t>
            </w:r>
          </w:p>
        </w:tc>
      </w:tr>
      <w:tr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</w:t>
            </w:r>
          </w:p>
        </w:tc>
        <w:tc>
          <w:tcPr>
            <w:tcW w:type="dxa" w:w="5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서울의과학연구소</w:t>
            </w:r>
          </w:p>
        </w:tc>
        <w:tc>
          <w:tcPr>
            <w:tcW w:type="dxa" w:w="2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909</w:t>
            </w:r>
          </w:p>
        </w:tc>
      </w:tr>
      <w:tr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</w:t>
            </w:r>
          </w:p>
        </w:tc>
        <w:tc>
          <w:tcPr>
            <w:tcW w:type="dxa" w:w="5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서울아산병원</w:t>
            </w:r>
          </w:p>
        </w:tc>
        <w:tc>
          <w:tcPr>
            <w:tcW w:type="dxa" w:w="2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775</w:t>
            </w:r>
          </w:p>
        </w:tc>
      </w:tr>
      <w:tr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</w:t>
            </w:r>
          </w:p>
        </w:tc>
        <w:tc>
          <w:tcPr>
            <w:tcW w:type="dxa" w:w="5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이원의료재단</w:t>
            </w:r>
          </w:p>
        </w:tc>
        <w:tc>
          <w:tcPr>
            <w:tcW w:type="dxa" w:w="2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710</w:t>
            </w:r>
          </w:p>
        </w:tc>
      </w:tr>
      <w:tr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</w:t>
            </w:r>
          </w:p>
        </w:tc>
        <w:tc>
          <w:tcPr>
            <w:tcW w:type="dxa" w:w="5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씨젠의료재단 (서울)</w:t>
            </w:r>
          </w:p>
        </w:tc>
        <w:tc>
          <w:tcPr>
            <w:tcW w:type="dxa" w:w="2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689</w:t>
            </w:r>
          </w:p>
        </w:tc>
      </w:tr>
    </w:tbl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반복 장애 장비 TOP 3 (Proactive Service 1순위 대상)</w:t>
      </w:r>
    </w:p>
    <w:tbl>
      <w:tblPr>
        <w:tblW w:type="dxa" w:w="6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2000"/>
      </w:tblGrid>
      <w:tr>
        <w:tc>
          <w:tcPr>
            <w:tcW w:type="dxa" w:w="4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S/N</w:t>
            </w:r>
          </w:p>
        </w:tc>
        <w:tc>
          <w:tcPr>
            <w:tcW w:type="dxa" w:w="2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건수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S/N 15032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92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S/N 14982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56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S/N 15031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54</w:t>
            </w:r>
          </w:p>
        </w:tc>
      </w:tr>
    </w:tbl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TOP3 장비가 전체 고장수리(15,149건)의 1.3%를 차지 — 즉각 정밀진단 및 부품 교체 우선 검토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주요 장애 요인 (Top Errors, '기타' 제외)</w:t>
      </w:r>
    </w:p>
    <w:tbl>
      <w:tblPr>
        <w:tblW w:type="dxa" w:w="6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2000"/>
      </w:tblGrid>
      <w:tr>
        <w:tc>
          <w:tcPr>
            <w:tcW w:type="dxa" w:w="4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장애 요인</w:t>
            </w:r>
          </w:p>
        </w:tc>
        <w:tc>
          <w:tcPr>
            <w:tcW w:type="dxa" w:w="2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건수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Data 불량 (QC)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514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RBC/HGB chamber not draining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166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Chamber move error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159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Water leak detected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156</w:t>
            </w:r>
          </w:p>
        </w:tc>
      </w:tr>
    </w:tbl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엔지니어 생산성 TOP 5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1300"/>
        <w:gridCol w:w="1400"/>
        <w:gridCol w:w="1600"/>
        <w:gridCol w:w="1600"/>
        <w:gridCol w:w="1000"/>
      </w:tblGrid>
      <w:tr>
        <w:tc>
          <w:tcPr>
            <w:tcW w:type="dxa" w:w="13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담당자</w:t>
            </w:r>
          </w:p>
        </w:tc>
        <w:tc>
          <w:tcPr>
            <w:tcW w:type="dxa" w:w="13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소속팀</w:t>
            </w:r>
          </w:p>
        </w:tc>
        <w:tc>
          <w:tcPr>
            <w:tcW w:type="dxa" w:w="14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건수</w:t>
            </w:r>
          </w:p>
        </w:tc>
        <w:tc>
          <w:tcPr>
            <w:tcW w:type="dxa" w:w="1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작업시간</w:t>
            </w:r>
          </w:p>
        </w:tc>
        <w:tc>
          <w:tcPr>
            <w:tcW w:type="dxa" w:w="1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고장수리%</w:t>
            </w:r>
          </w:p>
        </w:tc>
        <w:tc>
          <w:tcPr>
            <w:tcW w:type="dxa" w:w="1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PM%</w:t>
            </w:r>
          </w:p>
        </w:tc>
      </w:tr>
      <w:tr>
        <w:tc>
          <w:tcPr>
            <w:tcW w:type="dxa" w:w="13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이인구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FS West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1727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2760h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44.4%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37.6%</w:t>
            </w:r>
          </w:p>
        </w:tc>
      </w:tr>
      <w:tr>
        <w:tc>
          <w:tcPr>
            <w:tcW w:type="dxa" w:w="13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조수호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FS South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1469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2081h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19.7%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49.4%</w:t>
            </w:r>
          </w:p>
        </w:tc>
      </w:tr>
      <w:tr>
        <w:tc>
          <w:tcPr>
            <w:tcW w:type="dxa" w:w="13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김태현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FS South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1409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2101h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29.7%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37.2%</w:t>
            </w:r>
          </w:p>
        </w:tc>
      </w:tr>
      <w:tr>
        <w:tc>
          <w:tcPr>
            <w:tcW w:type="dxa" w:w="13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박석영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FS South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1397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2005h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31.6%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49.9%</w:t>
            </w:r>
          </w:p>
        </w:tc>
      </w:tr>
      <w:tr>
        <w:tc>
          <w:tcPr>
            <w:tcW w:type="dxa" w:w="13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이준민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FS South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1391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2713h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30.9%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45%</w:t>
            </w:r>
          </w:p>
        </w:tc>
      </w:tr>
    </w:tbl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데이터 소스: CRM 약속·활동 로그(담당자·시작/종료시간 기준, 취소 건 제외) + work-schedule.html 로스터(소속팀 매핑)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6.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장비별 에러율 분석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CRM 약속·활동 로그 40,000건 원자료 직접 집계 (취소 건 제외). 에러율 = 고장 수리 건수 ÷ 전체 서비스 활동 건수 × 100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2000"/>
        <w:gridCol w:w="2000"/>
        <w:gridCol w:w="1600"/>
      </w:tblGrid>
      <w:tr>
        <w:tc>
          <w:tcPr>
            <w:tcW w:type="dxa" w:w="3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장비군</w:t>
            </w:r>
          </w:p>
        </w:tc>
        <w:tc>
          <w:tcPr>
            <w:tcW w:type="dxa" w:w="2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전체 활동</w:t>
            </w:r>
          </w:p>
        </w:tc>
        <w:tc>
          <w:tcPr>
            <w:tcW w:type="dxa" w:w="2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고장 수리</w:t>
            </w:r>
          </w:p>
        </w:tc>
        <w:tc>
          <w:tcPr>
            <w:tcW w:type="dxa" w:w="1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에러율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SP (Slide Preparation)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4,436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3,233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72.9%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CN (Coagulation)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2,095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1,038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49.5%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HISCL (Immunoassay)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481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152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31.6%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XN/XR (Hematology)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19,119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5,292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27.7%</w:t>
            </w:r>
          </w:p>
        </w:tc>
      </w:tr>
    </w:tbl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Insight: SP(도말표본 제작 장비) 계열의 에러율이 72.9%로 가장 높아 전체 서비스 활동의 대부분이 고장 수리로 발생하고 있습니다. CN(응고) 계열도 49.5%로 절반 수준이며, XN/XR(혈액) 계열은 27.7%로 상대적으로 안정적입니다. SP·CN 계열 우선 예방정비 강화가 필요합니다.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7.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VOC 수집 정보 및 처리현황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고객(병원) 대상 방문 서비스 만족도 조사 자동 분석 시스템(Google Forms + Apps Script)의 해당 기간 리포트를 소스로 합니다. 팀별/개인별(FSR)/직급별/지역별/서비스형태별/장비모델별 집계와 월별 추이를 자동 제공합니다.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응답 건수: 자료 미제공 – 추후 업데이트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평가 항목 평균 점수 (①신속성·일정 ②전문성·문제해결 ③고객응대·마무리): 자료 미제공 – 추후 업데이트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서술형 의견 분류 (심각·개선요청·칭찬·단순의견): 자료 미제공 – 추후 업데이트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VOC 처리현황</w:t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1800"/>
        <w:gridCol w:w="3200"/>
      </w:tblGrid>
      <w:tr>
        <w:tc>
          <w:tcPr>
            <w:tcW w:type="dxa" w:w="2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처리 상태</w:t>
            </w:r>
          </w:p>
        </w:tc>
        <w:tc>
          <w:tcPr>
            <w:tcW w:type="dxa" w:w="18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건수</w:t>
            </w:r>
          </w:p>
        </w:tc>
        <w:tc>
          <w:tcPr>
            <w:tcW w:type="dxa" w:w="3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처리완료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처리중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미처리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8.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중대 이슈 처리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VOC 레드 플래그 시스템: 평가 2점 이하 또는 서술형 "심각" 분류 건을 즉시 감지 → 분야별 전문가 TFT 구성 → SLA(1차 컨택 24~48시간) 내 처리하여 신뢰를 회복하는 프로세스입니다.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해당 기간 접수·조치·종결 현황입니다.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자료 미제공 – 추후 업데이트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9.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대리점 교육 등 처리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대리점(에이전시) 대상 기술 교육, 서비스 프로세스 안내 등 처리 현황입니다.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자료 미제공 – 추후 업데이트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10.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직원교육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Sysmex Technical Academy(주니어 레벨 빠른 성장 및 Expert Engineer 육성), Working Group(Hema/Urine/Coa/Immuno 4개 분야 전문성 강화) 등 사내 교육·그룹 활동 진행 현황입니다.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Technical Academy: 자료 미제공 – 추후 업데이트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Working Group: 자료 미제공 – 추후 업데이트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11.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고객 중심 서비스 총평 및 Next Step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VOC 대응, 중대 이슈 대응력, 대리점·직원 역량 강화 관점에서 이번 기간 서비스 활동을 종합합니다.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고객 중심 Insight: 설치일정 CRM 데이터 분석 결과(2026년 7월), 강남차병원·강남차여성병원 프로젝트(XR-9000/XR-1000)는 담당 엔지니어(Martin)가 설치 → 평가 지원 → 이전설치까지 4건을 연속 담당해 책임 담당제의 고객 연속성을 보여주는 우수 사례입니다. 설치·이전설치 평균 소요기간은 1.25일로 신속하게 처리되었으나, FS South팀은 7월 설치 실적 0건으로 팀간 업무량 편차 확인이 필요합니다.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/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Next Step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8월 설치 파이프라인 대응: 설치일정 CRM 기준 8월 예정 16건(설치 9 · 평가 5 · 이전설치 2) 사전 리소스 배정 및 일정 조율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FS South팀 업무량 편차 점검: 7월 설치 실적 0건 원인 파악 후 8월 배정 검토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책임 담당제 우수 사례 확산: 강남차병원 사례(담당 엔지니어 연속 대응)를 타 팀 벤치마킹 사례로 공유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미확보 데이터 확보: PM·A/S 실적, VOC 대시보드 연동 데이터 확보하여 다음 보고 시 KPI·VOC 항목 완성</w:t>
      </w:r>
    </w:p>
    <w:p>
      <w:pPr>
        <w:pBdr>
          <w:top w:val="single" w:color="9E9E9E" w:sz="4" w:space="8"/>
        </w:pBdr>
        <w:spacing w:before="600"/>
      </w:pPr>
      <w:r>
        <w:rPr>
          <w:rFonts w:ascii="Malgun Gothic" w:cs="Malgun Gothic" w:eastAsia="Malgun Gothic" w:hAnsi="Malgun Gothic"/>
          <w:color w:val="9E9E9E"/>
          <w:sz w:val="16"/>
          <w:szCs w:val="16"/>
        </w:rPr>
        <w:t xml:space="preserve">FS Group │ FSS Team · 2026년 7월 · Confidential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2026-07-21T08:16:35.190Z</dcterms:created>
  <dcterms:modified xsi:type="dcterms:W3CDTF">2026-07-21T08:16:35.190Z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