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Malgun Gothic" w:cs="Malgun Gothic" w:eastAsia="Malgun Gothic" w:hAnsi="Malgun Gothic"/>
          <w:b/>
          <w:bCs/>
          <w:color w:val="005BAC"/>
          <w:sz w:val="48"/>
          <w:szCs w:val="48"/>
        </w:rPr>
        <w:t xml:space="preserve">FSG 월간 서비스 활동 보고서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00B8EE"/>
          <w:sz w:val="26"/>
          <w:szCs w:val="26"/>
        </w:rPr>
        <w:t xml:space="preserve">2026년 7월 · FS Group / FSS Team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개요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본 보고서는 2026년 7월 FS Group(FS East/West/South/Central) 및 FSS Team의 서비스 활동 실적, VOC 수집·처리 현황, 중대 이슈 대응, 대리점·직원 교육 현황을 고객 중심(Customer-Centric) 관점에서 정리한 월간 보고서입니다.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보고 목적: 경영진(FSG 리더십)에게 현장 서비스 활동과 고객 접점 품질을 공유하고, 특이사항 및 향후 계획에 대한 의사결정을 지원합니다.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※ 본 문서는 틀(骨格)만 작성된 초안이며, 팀별 실적 데이터와 VOC 대시보드 연동 데이터는 자료 확보 후 업데이트됩니다.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서비스 활동 보고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팀별 설치, PM(예방점검), A/S(고장수리) 처리 건수 및 KPI 요약(2026년 6월 실적 · 전월 대비)입니다. SLA 준수율은 고장 수리 케이스만 대상으로 산출합니다.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1300"/>
        <w:gridCol w:w="1000"/>
        <w:gridCol w:w="1500"/>
        <w:gridCol w:w="1500"/>
        <w:gridCol w:w="1500"/>
        <w:gridCol w:w="1500"/>
      </w:tblGrid>
      <w:tr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팀</w:t>
            </w:r>
          </w:p>
        </w:tc>
        <w:tc>
          <w:tcPr>
            <w:tcW w:type="dxa" w:w="1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리더</w:t>
            </w:r>
          </w:p>
        </w:tc>
        <w:tc>
          <w:tcPr>
            <w:tcW w:type="dxa" w:w="1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인원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설치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PM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A/S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합계</w:t>
            </w:r>
          </w:p>
        </w:tc>
      </w:tr>
      <w:t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East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김병우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11명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West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허석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12명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성기홍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11명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Central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정근하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10명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600"/>
            <w:shd w:fill="EAF1F8" w:color="auto" w:val="clea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합계</w:t>
            </w:r>
          </w:p>
        </w:tc>
        <w:tc>
          <w:tcPr>
            <w:tcW w:type="dxa" w:w="13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44명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12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팀장·인원수는 work-schedule.html 로스터 기준. 설치 건수는 신규 설치 기준(설치일정 관리 시트). 이전설치 4건 (FS East 3 · FS West 1), 장비 설치평가 4건 (SA팀 진행, FS팀 실적과 별도 집계)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00"/>
        <w:gridCol w:w="2600"/>
      </w:tblGrid>
      <w:tr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6월 실적</w:t>
            </w:r>
          </w:p>
        </w:tc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전월 대비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SLA 준수율(수리)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15.1%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▼2.5%p (5월 17.6%)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FTFR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69%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▼4.1%p (5월 73.1%)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MTTR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125.3분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▼12.2분 개선 (5월 137.5분)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Uptime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-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서비스 SLA 준수율(고장 수리) 월별 추이 — 기준: 고장 수리 접수~해결 24시간 이내 · 12개월 평균(기준선) 24%</w:t>
      </w: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2200"/>
        <w:gridCol w:w="2600"/>
      </w:tblGrid>
      <w:tr>
        <w:tc>
          <w:tcPr>
            <w:tcW w:type="dxa" w:w="2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월</w:t>
            </w:r>
          </w:p>
        </w:tc>
        <w:tc>
          <w:tcPr>
            <w:tcW w:type="dxa" w:w="2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SLA 준수율</w:t>
            </w:r>
          </w:p>
        </w:tc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12개월 평균 대비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2025-08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24%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+0.0%p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2025-09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23.8%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-0.2%p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2025-10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18.5%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-5.5%p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2025-11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25.5%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+1.5%p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2025-12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29.4%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+5.4%p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2026-01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28.5%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+4.5%p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2026-02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14.4%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-9.6%p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2026-03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27.5%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+3.5%p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2026-04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28.3%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+4.3%p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2026-05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17.6%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-6.4%p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2026-06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15.1%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-8.9%p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2026-07*</w:t>
            </w:r>
          </w:p>
        </w:tc>
        <w:tc>
          <w:tcPr>
            <w:tcW w:type="dxa" w:w="2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35%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+11.0%p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SLA = 고장 수리 케이스 접수~해결 24시간 이내 비율 (CRM 서비스 케이스 로그). *2026-07은 21일까지(n=60) 잠정치 — 표본이 작아 참고용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서비스 KPI 정의 및 산출 기준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SLA·FTFR·MTTR·Uptime의 정의·계산식과 2026년 6월 실적을 전월·기준(목표)과 비교합니다. (SLA 준수율은 고장 수리 케이스만 대상)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50"/>
        <w:gridCol w:w="1950"/>
        <w:gridCol w:w="1500"/>
        <w:gridCol w:w="1000"/>
        <w:gridCol w:w="1300"/>
      </w:tblGrid>
      <w:tr>
        <w:tc>
          <w:tcPr>
            <w:tcW w:type="dxa" w:w="1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dxa" w:w="19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type="dxa" w:w="19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계산식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목표/기준</w:t>
            </w:r>
          </w:p>
        </w:tc>
        <w:tc>
          <w:tcPr>
            <w:tcW w:type="dxa" w:w="1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6월 실적</w:t>
            </w:r>
          </w:p>
        </w:tc>
        <w:tc>
          <w:tcPr>
            <w:tcW w:type="dxa" w:w="1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전월 대비</w:t>
            </w:r>
          </w:p>
        </w:tc>
      </w:tr>
      <w:tr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18"/>
                <w:szCs w:val="18"/>
              </w:rPr>
              <w:t xml:space="preserve">SLA 준수율(수리)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고장 수리 접수~해결이 24시간 이내인 비율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24H 이내 해결 건수 ÷ 전체 고장수리 해결건수 ×100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기준: 고장 수리 접수~해결 24시간 이내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15.1%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▼2.5%p (5월 17.6%)</w:t>
            </w:r>
          </w:p>
        </w:tc>
      </w:tr>
      <w:tr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18"/>
                <w:szCs w:val="18"/>
              </w:rPr>
              <w:t xml:space="preserve">Response Time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고객 접수 후 최초 대응까지 걸린 시간 (짧을수록 좋음)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최초 대응 시각 − 접수 시각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목표 추후 설정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자료 미제공 – 추후 업데이트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18"/>
                <w:szCs w:val="18"/>
              </w:rPr>
              <w:t xml:space="preserve">FTFR (First Time Fix Rate)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한 번 방문으로 수리가 끝난 비율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첫 방문 해결 건수 ÷ 전체 방문 건수 ×100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참고 지표(목표 추후 설정)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69%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▼4.1%p (5월 73.1%)</w:t>
            </w:r>
          </w:p>
        </w:tc>
      </w:tr>
      <w:tr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18"/>
                <w:szCs w:val="18"/>
              </w:rPr>
              <w:t xml:space="preserve">MTTR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평균 수리시간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총 수리 소요시간 ÷ 수리 건수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참고 지표(목표 추후 설정)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125.3분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▼12.2분 개선 (5월 137.5분)</w:t>
            </w:r>
          </w:p>
        </w:tc>
      </w:tr>
      <w:tr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18"/>
                <w:szCs w:val="18"/>
              </w:rPr>
              <w:t xml:space="preserve">Uptime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장비가 정상적으로 운영된 시간의 비율</w:t>
            </w:r>
          </w:p>
        </w:tc>
        <w:tc>
          <w:tcPr>
            <w:tcW w:type="dxa" w:w="195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(총 운영가능시간 − 장애시간) ÷ 총 운영가능시간 ×100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목표 99% 이상(혈액검사 장비 기준)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자료 미제공 – 추후 업데이트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18"/>
                <w:szCs w:val="18"/>
              </w:rPr>
              <w:t xml:space="preserve">-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계산 예시 (사용자 제공 기준)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FTFR: 방문 100건 중 첫 방문 해결 92건 → FTFR = 92 ÷ 100 × 100 = 92%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Uptime: 한 달 총 운영가능 720시간 중 장애 4시간 → Uptime = (720−4) ÷ 720 = 99.44% (혈액검사 장비는 대부분 99% 이상을 목표로 관리)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Response Time·Uptime 실적은 접수/가동시간 로그가 CRM에 연동되지 않아 이번 달은 산출 불가 — 다음 보고 전 데이터 확보 추진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4.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장비별 설치 현황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팀 구분 없이 모델(시리즈) 기준으로 집계한 설치 현황입니다. (2026년 7월 설치+이전설치 전체 16건)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2000"/>
        <w:gridCol w:w="2000"/>
      </w:tblGrid>
      <w:tr>
        <w:tc>
          <w:tcPr>
            <w:tcW w:type="dxa" w:w="4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장비 모델(시리즈)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비중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XR 시리즈 (Hematology)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44%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XN 시리즈 (Hematology)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CA 시리즈 (Coagulation)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UN/UC 시리즈 (Urine)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SP/DI 시리즈 (도말표본)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000"/>
            <w:shd w:fill="EAF1F8" w:color="auto" w:val="clea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합계</w:t>
            </w:r>
          </w:p>
        </w:tc>
        <w:tc>
          <w:tcPr>
            <w:tcW w:type="dxa" w:w="20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100%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데이터 소스: 설치일정 관리 시트 (2026년 7월, 설치+이전설치 전체 대상, 원본 모델명을 시리즈 단위로 그룹핑)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5.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서비스 케이스 분석 – 추이 및 지수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CRM 서비스 케이스 데이터, 최근 1년 누적 기준입니다. (월간 서비스 활동 실적과 별도 참고 지표)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월별 Service Case 추이: 최고 2026년 6월 2,425건, 최저 2026년 2월 1,449건 — 지속적인 증가·변동 추세를 보입니다.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서비스 목적별 비율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00"/>
        <w:gridCol w:w="2500"/>
        <w:gridCol w:w="1500"/>
      </w:tblGrid>
      <w:tr>
        <w:tc>
          <w:tcPr>
            <w:tcW w:type="dxa" w:w="4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서비스 목적</w:t>
            </w:r>
          </w:p>
        </w:tc>
        <w:tc>
          <w:tcPr>
            <w:tcW w:type="dxa" w:w="2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비중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고장 수리 (Breakdown Repair)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15,149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37.9%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PM (정기 점검)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14,904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37.3%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Calibration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5,699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14.2%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기타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-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10.6%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예방정비 지수(PM Ratio) = PM건수 ÷ (PM+고장수리) × 100 = 49.6%. PM과 고장수리 비율이 팽팽히 맞서고 있어, 예방점검 품질을 높여 사후 고장수리 비율을 낮추는 전략이 필요합니다.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6.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월간 트렌드 비교 – 조직개편 영향 분석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CRM 서비스 케이스·약속활동 로그, 2026년 1~6월 직접 집계입니다. 4월 조직개편(기술/학술 분리) 전후를 비교합니다.</w:t>
      </w:r>
    </w:p>
    <w:tbl>
      <w:tblPr>
        <w:tblW w:type="dxa" w:w="6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8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1월</w:t>
            </w:r>
          </w:p>
        </w:tc>
        <w:tc>
          <w:tcPr>
            <w:tcW w:type="dxa" w:w="8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2월</w:t>
            </w:r>
          </w:p>
        </w:tc>
        <w:tc>
          <w:tcPr>
            <w:tcW w:type="dxa" w:w="8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3월</w:t>
            </w:r>
          </w:p>
        </w:tc>
        <w:tc>
          <w:tcPr>
            <w:tcW w:type="dxa" w:w="8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4월</w:t>
            </w:r>
          </w:p>
        </w:tc>
        <w:tc>
          <w:tcPr>
            <w:tcW w:type="dxa" w:w="8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5월</w:t>
            </w:r>
          </w:p>
        </w:tc>
        <w:tc>
          <w:tcPr>
            <w:tcW w:type="dxa" w:w="85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6월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방문건수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1,621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1,449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2,201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2,109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1,744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2,425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수리건수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566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473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514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526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505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665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PM건수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504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539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649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666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442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904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4월부터가 조직개편 이후 구간입니다.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개편 전(1~3월 평균) vs 개편 후(4~6월 평균)</w:t>
      </w:r>
    </w:p>
    <w:tbl>
      <w:tblPr>
        <w:tblW w:type="dxa" w:w="6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1600"/>
        <w:gridCol w:w="1600"/>
        <w:gridCol w:w="1400"/>
      </w:tblGrid>
      <w:tr>
        <w:tc>
          <w:tcPr>
            <w:tcW w:type="dxa" w:w="2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개편 전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개편 후</w:t>
            </w:r>
          </w:p>
        </w:tc>
        <w:tc>
          <w:tcPr>
            <w:tcW w:type="dxa" w:w="14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증감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방문건수(월평균)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1,757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2,093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+19%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수리건수(월평균)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518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565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+9%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PM건수(월평균)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564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671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+19%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예방정비 지수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52.1%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54.3%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+2.1%p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6월 하이라이트 (전년 동월 대비)</w:t>
      </w:r>
    </w:p>
    <w:tbl>
      <w:tblPr>
        <w:tblW w:type="dxa" w:w="6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1600"/>
        <w:gridCol w:w="1600"/>
        <w:gridCol w:w="1400"/>
      </w:tblGrid>
      <w:tr>
        <w:tc>
          <w:tcPr>
            <w:tcW w:type="dxa" w:w="2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'25.6월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'26.6월</w:t>
            </w:r>
          </w:p>
        </w:tc>
        <w:tc>
          <w:tcPr>
            <w:tcW w:type="dxa" w:w="14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YoY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방문건수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1,438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2,425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+69%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전체 활동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1,324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2,062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+56%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수리건수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467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665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+42%</w:t>
            </w:r>
          </w:p>
        </w:tc>
      </w:tr>
      <w:tr>
        <w:tc>
          <w:tcPr>
            <w:tcW w:type="dxa" w:w="2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PM건수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500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904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+81%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Insight: 조직개편(4월) 이후 방문·PM건수가 개편 전 대비 각각 19%, 19% 증가했고 예방정비 지수도 소폭 개선(+2.1%p)되어 예방 중심 활동이 늘었습니다. 6월은 PM건수가 전년 동월 대비 +80.8% 급증(전체 활동 최고치)한 반면 수리건수 증가(+42.4%)는 상대적으로 완만해, 예방점검 확대 효과로 해석됩니다.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7.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주요 고객 및 장애 분석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CRM 서비스 케이스 데이터, 최근 1년 누적 기준입니다.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병원 TOP 5 (서비스 활동 기준)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5000"/>
        <w:gridCol w:w="2300"/>
      </w:tblGrid>
      <w:tr>
        <w:tc>
          <w:tcPr>
            <w:tcW w:type="dxa" w:w="1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순위</w:t>
            </w:r>
          </w:p>
        </w:tc>
        <w:tc>
          <w:tcPr>
            <w:tcW w:type="dxa" w:w="5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기관명</w:t>
            </w:r>
          </w:p>
        </w:tc>
        <w:tc>
          <w:tcPr>
            <w:tcW w:type="dxa" w:w="2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의료법인녹십자의료재단 (용인)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1,464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서울의과학연구소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909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서울아산병원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775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이원의료재단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710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씨젠의료재단 (서울)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689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반복 장애 장비 TOP 3 (Proactive Service 1순위 대상)</w:t>
      </w:r>
    </w:p>
    <w:tbl>
      <w:tblPr>
        <w:tblW w:type="dxa" w:w="6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000"/>
      </w:tblGrid>
      <w:tr>
        <w:tc>
          <w:tcPr>
            <w:tcW w:type="dxa" w:w="4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S/N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S/N 15032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92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S/N 14982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56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S/N 15031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54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TOP3 장비가 전체 고장수리(15,149건)의 1.3%를 차지 — 즉각 정밀진단 및 부품 교체 우선 검토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주요 장애 요인 (Top Errors, '기타' 제외)</w:t>
      </w:r>
    </w:p>
    <w:tbl>
      <w:tblPr>
        <w:tblW w:type="dxa" w:w="6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000"/>
      </w:tblGrid>
      <w:tr>
        <w:tc>
          <w:tcPr>
            <w:tcW w:type="dxa" w:w="4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장애 요인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Data 불량 (QC)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514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RBC/HGB chamber not draining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166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Chamber move error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159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Water leak detected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156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엔지니어 생산성 TOP 5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300"/>
        <w:gridCol w:w="1400"/>
        <w:gridCol w:w="1600"/>
        <w:gridCol w:w="1600"/>
        <w:gridCol w:w="1000"/>
      </w:tblGrid>
      <w:tr>
        <w:tc>
          <w:tcPr>
            <w:tcW w:type="dxa" w:w="1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담당자</w:t>
            </w:r>
          </w:p>
        </w:tc>
        <w:tc>
          <w:tcPr>
            <w:tcW w:type="dxa" w:w="1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소속팀</w:t>
            </w:r>
          </w:p>
        </w:tc>
        <w:tc>
          <w:tcPr>
            <w:tcW w:type="dxa" w:w="14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작업시간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고장수리%</w:t>
            </w:r>
          </w:p>
        </w:tc>
        <w:tc>
          <w:tcPr>
            <w:tcW w:type="dxa" w:w="1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PM%</w:t>
            </w:r>
          </w:p>
        </w:tc>
      </w:tr>
      <w:t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이인구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West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1727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2760h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44.4%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37.6%</w:t>
            </w:r>
          </w:p>
        </w:tc>
      </w:tr>
      <w:t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조수호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1469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2081h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19.7%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49.4%</w:t>
            </w:r>
          </w:p>
        </w:tc>
      </w:tr>
      <w:t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김태현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1409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2101h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29.7%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37.2%</w:t>
            </w:r>
          </w:p>
        </w:tc>
      </w:tr>
      <w:t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박석영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1397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2005h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31.6%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49.9%</w:t>
            </w:r>
          </w:p>
        </w:tc>
      </w:tr>
      <w:tr>
        <w:tc>
          <w:tcPr>
            <w:tcW w:type="dxa" w:w="13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이준민</w:t>
            </w:r>
          </w:p>
        </w:tc>
        <w:tc>
          <w:tcPr>
            <w:tcW w:type="dxa" w:w="1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4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1391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2713h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30.9%</w:t>
            </w:r>
          </w:p>
        </w:tc>
        <w:tc>
          <w:tcPr>
            <w:tcW w:type="dxa" w:w="1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45%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데이터 소스: CRM 약속·활동 로그(담당자·시작/종료시간 기준, 취소 건 제외) + work-schedule.html 로스터(소속팀 매핑)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8.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장비별 에러율 분석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CRM 약속·활동 로그 40,000건 원자료 직접 집계 (취소 건 제외). 에러율 = 고장 수리 건수 ÷ 전체 서비스 활동 건수 × 100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2000"/>
        <w:gridCol w:w="2000"/>
        <w:gridCol w:w="1600"/>
      </w:tblGrid>
      <w:tr>
        <w:tc>
          <w:tcPr>
            <w:tcW w:type="dxa" w:w="3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장비군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전체 활동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고장 수리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에러율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SP (Slide Preparation)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4,436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3,233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72.9%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CN (Coagulation)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2,095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1,038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49.5%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HISCL (Immunoassay)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481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152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31.6%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XN/XR (Hematology)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19,119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5,292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27.7%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Insight: SP(도말표본 제작 장비) 계열의 에러율이 72.9%로 가장 높아 전체 서비스 활동의 대부분이 고장 수리로 발생하고 있습니다. CN(응고) 계열도 49.5%로 절반 수준이며, XN/XR(혈액) 계열은 27.7%로 상대적으로 안정적입니다. SP·CN 계열 우선 예방정비 강화가 필요합니다.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9.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VOC 수집 정보 및 처리현황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고객(병원) 대상 방문 서비스 만족도 조사 자동 분석 시스템(Google Forms + Apps Script)의 해당 기간 리포트를 소스로 합니다. 팀별/개인별(FSR)/직급별/지역별/서비스형태별/장비모델별 집계와 월별 추이를 자동 제공합니다.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응답 건수: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평가 항목 평균 점수 (①신속성·일정 ②전문성·문제해결 ③고객응대·마무리):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서술형 의견 분류 (심각·개선요청·칭찬·단순의견): 자료 미제공 – 추후 업데이트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처리현황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800"/>
        <w:gridCol w:w="3200"/>
      </w:tblGrid>
      <w:tr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처리 상태</w:t>
            </w:r>
          </w:p>
        </w:tc>
        <w:tc>
          <w:tcPr>
            <w:tcW w:type="dxa" w:w="18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처리완료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처리중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미처리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10.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중대 이슈 처리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레드 플래그 시스템: 평가 2점 이하 또는 서술형 "심각" 분류 건을 즉시 감지 → 분야별 전문가 TFT 구성 → SLA(1차 컨택 24~48시간) 내 처리하여 신뢰를 회복하는 프로세스입니다.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해당 기간 접수·조치·종결 현황입니다.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11.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대리점 교육 등 처리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대리점(에이전시) 대상 기술 교육, 서비스 프로세스 안내 등 처리 현황입니다.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12.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직원교육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Sysmex Technical Academy(주니어 레벨 빠른 성장 및 Expert Engineer 육성), Working Group(Hema/Urine/Coa/Immuno 4개 분야 전문성 강화) 등 사내 교육·그룹 활동 진행 현황입니다.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Technical Academy: 자료 미제공 – 추후 업데이트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Working Group: 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13.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고객 중심 서비스 총평 및 Next Step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대응, 중대 이슈 대응력, 대리점·직원 역량 강화 관점에서 이번 기간 서비스 활동을 종합합니다.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고객 중심 Insight: 설치일정 스케쥴러 데이터 분석 결과(2026년 7월), 강남차병원·강남차여성병원 프로젝트(XR-9000/XR-1000)는 담당 엔지니어(김세진)가 설치 → 평가 지원 → 이전설치까지 4건을 연속 담당해 책임 담당제의 고객 연속성을 보여주는 우수 사례입니다. 설치·이전설치 평균 소요기간은 1.25일로 신속하게 처리되었으나, FS South팀은 7월 설치 실적 0건으로 팀간 업무량 편차 확인이 필요합니다.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Next Step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8월 설치 파이프라인 대응: 설치일정 스케쥴러 기준 8월 예정 16건(설치 9 · 평가 5 · 이전설치 2) 사전 리소스 배정 및 일정 조율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FS South팀 업무량 편차 점검: 7월 설치 실적 0건 원인 파악 후 8월 배정 검토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책임 담당제 우수 사례 확산: 강남차병원 사례(담당 엔지니어 연속 대응)를 타 팀 벤치마킹 사례로 공유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미확보 데이터 확보: PM·A/S 실적, Response Time·Uptime 로그, VOC 대시보드 연동 데이터 확보하여 다음 보고 시 KPI·VOC 항목 완성</w:t>
      </w:r>
    </w:p>
    <w:p>
      <w:pPr>
        <w:pBdr>
          <w:top w:val="single" w:color="9E9E9E" w:sz="4" w:space="8"/>
        </w:pBdr>
        <w:spacing w:before="600"/>
      </w:pPr>
      <w:r>
        <w:rPr>
          <w:rFonts w:ascii="Malgun Gothic" w:cs="Malgun Gothic" w:eastAsia="Malgun Gothic" w:hAnsi="Malgun Gothic"/>
          <w:color w:val="9E9E9E"/>
          <w:sz w:val="16"/>
          <w:szCs w:val="16"/>
        </w:rPr>
        <w:t xml:space="preserve">FS Group │ FSS Team · 2026년 7월 · Confidential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2026-07-21T08:48:36.587Z</dcterms:created>
  <dcterms:modified xsi:type="dcterms:W3CDTF">2026-07-21T08:48:36.588Z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