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4"/>
          <w:szCs w:val="44"/>
        </w:rPr>
        <w:t xml:space="preserve">RealShare</w:t>
      </w:r>
    </w:p>
    <w:p>
      <w:pPr>
        <w:spacing w:after="40"/>
      </w:pPr>
      <w:r>
        <w:rPr>
          <w:b/>
          <w:bCs/>
          <w:color w:val="B8860B"/>
          <w:sz w:val="26"/>
          <w:szCs w:val="26"/>
        </w:rPr>
        <w:t xml:space="preserve">Production Deployment — Requirements Document</w:t>
      </w:r>
    </w:p>
    <w:p>
      <w:pPr>
        <w:spacing w:after="300"/>
      </w:pPr>
      <w:r>
        <w:rPr>
          <w:i/>
          <w:iCs/>
          <w:color w:val="595959"/>
          <w:sz w:val="20"/>
          <w:szCs w:val="20"/>
        </w:rPr>
        <w:t xml:space="preserve">Credentials, access, and configuration needed from the client before go-live</w:t>
      </w:r>
    </w:p>
    <w:p>
      <w:pPr>
        <w:spacing w:after="20"/>
      </w:pPr>
      <w:r>
        <w:rPr>
          <w:color w:val="595959"/>
          <w:sz w:val="19"/>
          <w:szCs w:val="19"/>
        </w:rPr>
        <w:t xml:space="preserve">Prepared for: RealShare (client)</w:t>
      </w:r>
    </w:p>
    <w:p>
      <w:pPr>
        <w:spacing w:after="20"/>
      </w:pPr>
      <w:r>
        <w:rPr>
          <w:color w:val="595959"/>
          <w:sz w:val="19"/>
          <w:szCs w:val="19"/>
        </w:rPr>
        <w:t xml:space="preserve">Scope: admin-dashboard (Next.js web app) and android-app (Expo/React Native mobile app)</w:t>
      </w:r>
    </w:p>
    <w:p>
      <w:pPr>
        <w:spacing w:after="400"/>
      </w:pPr>
      <w:r>
        <w:rPr>
          <w:color w:val="595959"/>
          <w:sz w:val="19"/>
          <w:szCs w:val="19"/>
        </w:rPr>
        <w:t xml:space="preserve">Requested hosting: GoDaddy (see Section 2 for an important note on this)</w:t>
      </w:r>
    </w:p>
    <w:p>
      <w:pPr>
        <w:pStyle w:val="Heading1"/>
        <w:pBdr>
          <w:bottom w:val="single" w:color="B8860B" w:sz="6" w:space="4"/>
        </w:pBdr>
        <w:spacing w:after="200" w:before="400"/>
      </w:pPr>
      <w:r>
        <w:rPr>
          <w:b/>
          <w:bCs/>
          <w:color w:val="1A1A1A"/>
          <w:sz w:val="28"/>
          <w:szCs w:val="28"/>
        </w:rPr>
        <w:t xml:space="preserve">1. Purpose</w:t>
      </w:r>
    </w:p>
    <w:p>
      <w:pPr>
        <w:spacing w:after="160" w:line="276"/>
      </w:pPr>
      <w:r>
        <w:rPr>
          <w:color w:val="1A1A1A"/>
          <w:sz w:val="21"/>
          <w:szCs w:val="21"/>
        </w:rPr>
        <w:t xml:space="preserve">This document lists everything the development team needs from the client to take RealShare live: third-party service credentials, API keys, and account access. Each item includes a plain-language description of what it is and why the application needs it. Nothing in this list is optional — the application will not function correctly, or at all, without each of these being provided and correctly configured.</w:t>
      </w:r>
    </w:p>
    <w:p>
      <w:pPr>
        <w:pStyle w:val="Heading1"/>
        <w:pBdr>
          <w:bottom w:val="single" w:color="B8860B" w:sz="6" w:space="4"/>
        </w:pBdr>
        <w:spacing w:after="200" w:before="400"/>
      </w:pPr>
      <w:r>
        <w:rPr>
          <w:b/>
          <w:bCs/>
          <w:color w:val="1A1A1A"/>
          <w:sz w:val="28"/>
          <w:szCs w:val="28"/>
        </w:rPr>
        <w:t xml:space="preserve">2. A Note on GoDaddy Hosting</w:t>
      </w:r>
    </w:p>
    <w:p>
      <w:pPr>
        <w:spacing w:after="160" w:line="276"/>
      </w:pPr>
      <w:r>
        <w:rPr>
          <w:color w:val="1A1A1A"/>
          <w:sz w:val="21"/>
          <w:szCs w:val="21"/>
        </w:rPr>
        <w:t xml:space="preserve">The client has asked for this project to be deployed on GoDaddy. Before proceeding, it is important to clarify which GoDaddy product is intended, because RealShare is not a simple static website — it is a Next.js web application with server-side API routes, a PostgreSQL database, and a separate mobile app, all of which have specific hosting requirements.</w:t>
      </w:r>
    </w:p>
    <w:p>
      <w:pPr>
        <w:pStyle w:val="Heading2"/>
        <w:spacing w:after="120" w:before="280"/>
      </w:pPr>
      <w:r>
        <w:rPr>
          <w:b/>
          <w:bCs/>
          <w:color w:val="B8860B"/>
          <w:sz w:val="22"/>
          <w:szCs w:val="22"/>
        </w:rPr>
        <w:t xml:space="preserve">Option A (recommended): GoDaddy for the domain only</w:t>
      </w:r>
    </w:p>
    <w:p>
      <w:pPr>
        <w:spacing w:after="160" w:line="276"/>
      </w:pPr>
      <w:r>
        <w:rPr>
          <w:color w:val="1A1A1A"/>
          <w:sz w:val="21"/>
          <w:szCs w:val="21"/>
        </w:rPr>
        <w:t xml:space="preserve">Keep the application running on a Node.js-capable host (the project is already configured and working on Render), and use GoDaddy only to register/manage the domain name and point its DNS records at that host. This is the simplest, lowest-risk path and requires no changes to the codebase or deployment process already in place — only a domain name and DNS access from the client (see Section 5).</w:t>
      </w:r>
    </w:p>
    <w:p>
      <w:pPr>
        <w:pStyle w:val="Heading2"/>
        <w:spacing w:after="120" w:before="280"/>
      </w:pPr>
      <w:r>
        <w:rPr>
          <w:b/>
          <w:bCs/>
          <w:color w:val="B8860B"/>
          <w:sz w:val="22"/>
          <w:szCs w:val="22"/>
        </w:rPr>
        <w:t xml:space="preserve">Option B: Full hosting on GoDaddy</w:t>
      </w:r>
    </w:p>
    <w:p>
      <w:pPr>
        <w:spacing w:after="160" w:line="276"/>
      </w:pPr>
      <w:r>
        <w:rPr>
          <w:color w:val="1A1A1A"/>
          <w:sz w:val="21"/>
          <w:szCs w:val="21"/>
        </w:rPr>
        <w:t xml:space="preserve">If the client specifically wants the application itself — not just the domain — hosted on GoDaddy’s own servers, this requires a GoDaddy VPS or Dedicated Server plan (not standard shared/cPanel hosting, which does not reliably support long-running Node.js processes, background API routes, or a Postgres database). This path needs the server to be provisioned with Node.js, a process manager (e.g. PM2), a reverse proxy (e.g. Nginx), and either a managed Postgres instance or Postgres installed directly on the server — all of which adds setup time and ongoing server maintenance responsibility that Render currently handles automatically.</w:t>
      </w:r>
    </w:p>
    <w:p>
      <w:pPr>
        <w:pBdr>
          <w:top w:val="single" w:color="FFF6E5" w:sz="2" w:space="4"/>
          <w:bottom w:val="single" w:color="FFF6E5" w:sz="2" w:space="4"/>
          <w:left w:val="single" w:color="B8860B" w:sz="18" w:space="8"/>
          <w:right w:val="single" w:color="FFF6E5" w:sz="2" w:space="4"/>
        </w:pBdr>
        <w:shd w:fill="FFF6E5" w:val="clear"/>
        <w:spacing w:after="200" w:before="100"/>
        <w:ind w:left="100" w:right="100"/>
      </w:pPr>
      <w:r>
        <w:rPr>
          <w:i/>
          <w:iCs/>
          <w:color w:val="1A1A1A"/>
          <w:sz w:val="20"/>
          <w:szCs w:val="20"/>
        </w:rPr>
        <w:t xml:space="preserve">Recommendation: confirm with the client which option they mean before proceeding. If they simply want "realshare.com" (or similar) to be the address people use, Option A achieves that with far less risk and no migration of the working backend. If they specifically want the server itself on GoDaddy infrastructure, flag the additional setup and maintenance work under Option B so it can be scoped and quoted properly.</w:t>
      </w:r>
    </w:p>
    <w:p>
      <w:pPr>
        <w:pStyle w:val="Heading1"/>
        <w:pBdr>
          <w:bottom w:val="single" w:color="B8860B" w:sz="6" w:space="4"/>
        </w:pBdr>
        <w:spacing w:after="200" w:before="400"/>
      </w:pPr>
      <w:r>
        <w:rPr>
          <w:b/>
          <w:bCs/>
          <w:color w:val="1A1A1A"/>
          <w:sz w:val="28"/>
          <w:szCs w:val="28"/>
        </w:rPr>
        <w:t xml:space="preserve">3. Required Credentials &amp; API Keys</w:t>
      </w:r>
    </w:p>
    <w:p>
      <w:pPr>
        <w:spacing w:after="160" w:line="276"/>
      </w:pPr>
      <w:r>
        <w:rPr>
          <w:color w:val="1A1A1A"/>
          <w:sz w:val="21"/>
          <w:szCs w:val="21"/>
        </w:rPr>
        <w:t xml:space="preserve">The items below are organized by the service they belong to. Values currently in the codebase are placeholders or test-mode credentials set up during development — none of them should be used in production as-is (see the security note in Section 6).</w:t>
      </w:r>
    </w:p>
    <w:p>
      <w:pPr>
        <w:pStyle w:val="Heading2"/>
        <w:spacing w:after="120" w:before="280"/>
      </w:pPr>
      <w:r>
        <w:rPr>
          <w:b/>
          <w:bCs/>
          <w:color w:val="B8860B"/>
          <w:sz w:val="22"/>
          <w:szCs w:val="22"/>
        </w:rPr>
        <w:t xml:space="preserve">3.1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80"/>
      </w:tblGrid>
      <w:tr>
        <w:trPr>
          <w:tblHeader/>
        </w:trPr>
        <w:tc>
          <w:tcPr>
            <w:tcW w:type="dxa" w:w="2400"/>
            <w:shd w:fill="1A1A1A" w:val="clear"/>
            <w:tcMar>
              <w:top w:type="dxa" w:w="100"/>
              <w:left w:type="dxa" w:w="120"/>
              <w:bottom w:type="dxa" w:w="100"/>
              <w:right w:type="dxa" w:w="120"/>
            </w:tcMar>
            <w:vAlign w:val="center"/>
          </w:tcPr>
          <w:p>
            <w:r>
              <w:rPr>
                <w:b/>
                <w:bCs/>
                <w:color w:val="FFFFFF"/>
                <w:sz w:val="19"/>
                <w:szCs w:val="19"/>
              </w:rPr>
              <w:t xml:space="preserve">Item</w:t>
            </w:r>
          </w:p>
        </w:tc>
        <w:tc>
          <w:tcPr>
            <w:tcW w:type="dxa" w:w="3600"/>
            <w:shd w:fill="1A1A1A" w:val="clear"/>
            <w:tcMar>
              <w:top w:type="dxa" w:w="100"/>
              <w:left w:type="dxa" w:w="120"/>
              <w:bottom w:type="dxa" w:w="100"/>
              <w:right w:type="dxa" w:w="120"/>
            </w:tcMar>
            <w:vAlign w:val="center"/>
          </w:tcPr>
          <w:p>
            <w:r>
              <w:rPr>
                <w:b/>
                <w:bCs/>
                <w:color w:val="FFFFFF"/>
                <w:sz w:val="19"/>
                <w:szCs w:val="19"/>
              </w:rPr>
              <w:t xml:space="preserve">What it is</w:t>
            </w:r>
          </w:p>
        </w:tc>
        <w:tc>
          <w:tcPr>
            <w:tcW w:type="dxa" w:w="3080"/>
            <w:shd w:fill="1A1A1A" w:val="clear"/>
            <w:tcMar>
              <w:top w:type="dxa" w:w="100"/>
              <w:left w:type="dxa" w:w="120"/>
              <w:bottom w:type="dxa" w:w="100"/>
              <w:right w:type="dxa" w:w="120"/>
            </w:tcMar>
            <w:vAlign w:val="center"/>
          </w:tcPr>
          <w:p>
            <w:r>
              <w:rPr>
                <w:b/>
                <w:bCs/>
                <w:color w:val="FFFFFF"/>
                <w:sz w:val="19"/>
                <w:szCs w:val="19"/>
              </w:rPr>
              <w:t xml:space="preserve">Why it is needed</w:t>
            </w:r>
          </w:p>
        </w:tc>
      </w:tr>
      <w:tr>
        <w:tc>
          <w:tcPr>
            <w:tcW w:type="dxa" w:w="2400"/>
            <w:tcMar>
              <w:top w:type="dxa" w:w="90"/>
              <w:left w:type="dxa" w:w="120"/>
              <w:bottom w:type="dxa" w:w="90"/>
              <w:right w:type="dxa" w:w="120"/>
            </w:tcMar>
            <w:vAlign w:val="center"/>
          </w:tcPr>
          <w:p>
            <w:r>
              <w:rPr>
                <w:b/>
                <w:bCs/>
                <w:i w:val="false"/>
                <w:iCs w:val="false"/>
                <w:color w:val="1A1A1A"/>
                <w:sz w:val="19"/>
                <w:szCs w:val="19"/>
              </w:rPr>
              <w:t xml:space="preserve">Database connection string</w:t>
            </w:r>
          </w:p>
        </w:tc>
        <w:tc>
          <w:tcPr>
            <w:tcW w:type="dxa" w:w="3600"/>
            <w:tcMar>
              <w:top w:type="dxa" w:w="90"/>
              <w:left w:type="dxa" w:w="120"/>
              <w:bottom w:type="dxa" w:w="90"/>
              <w:right w:type="dxa" w:w="120"/>
            </w:tcMar>
            <w:vAlign w:val="center"/>
          </w:tcPr>
          <w:p>
            <w:r>
              <w:rPr>
                <w:b w:val="false"/>
                <w:bCs w:val="false"/>
                <w:i w:val="false"/>
                <w:iCs w:val="false"/>
                <w:color w:val="1A1A1A"/>
                <w:sz w:val="19"/>
                <w:szCs w:val="19"/>
              </w:rPr>
              <w:t xml:space="preserve">Full connection URL (host, port, username, password, database name) for the production PostgreSQL database.</w:t>
            </w:r>
          </w:p>
        </w:tc>
        <w:tc>
          <w:tcPr>
            <w:tcW w:type="dxa" w:w="3080"/>
            <w:tcMar>
              <w:top w:type="dxa" w:w="90"/>
              <w:left w:type="dxa" w:w="120"/>
              <w:bottom w:type="dxa" w:w="90"/>
              <w:right w:type="dxa" w:w="120"/>
            </w:tcMar>
            <w:vAlign w:val="center"/>
          </w:tcPr>
          <w:p>
            <w:r>
              <w:rPr>
                <w:b w:val="false"/>
                <w:bCs w:val="false"/>
                <w:i w:val="false"/>
                <w:iCs w:val="false"/>
                <w:color w:val="1A1A1A"/>
                <w:sz w:val="19"/>
                <w:szCs w:val="19"/>
              </w:rPr>
              <w:t xml:space="preserve">Every piece of real data in the app — user accounts, property listings, investments, transactions — lives here. The backend cannot start without it.</w:t>
            </w:r>
          </w:p>
        </w:tc>
      </w:tr>
    </w:tbl>
    <w:p>
      <w:pPr>
        <w:pStyle w:val="Heading2"/>
        <w:spacing w:after="120" w:before="280"/>
      </w:pPr>
      <w:r>
        <w:rPr>
          <w:b/>
          <w:bCs/>
          <w:color w:val="B8860B"/>
          <w:sz w:val="22"/>
          <w:szCs w:val="22"/>
        </w:rPr>
        <w:t xml:space="preserve">3.2 Firebase (Authentication &amp; File Storage)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80"/>
      </w:tblGrid>
      <w:tr>
        <w:trPr>
          <w:tblHeader/>
        </w:trPr>
        <w:tc>
          <w:tcPr>
            <w:tcW w:type="dxa" w:w="2400"/>
            <w:shd w:fill="1A1A1A" w:val="clear"/>
            <w:tcMar>
              <w:top w:type="dxa" w:w="100"/>
              <w:left w:type="dxa" w:w="120"/>
              <w:bottom w:type="dxa" w:w="100"/>
              <w:right w:type="dxa" w:w="120"/>
            </w:tcMar>
            <w:vAlign w:val="center"/>
          </w:tcPr>
          <w:p>
            <w:r>
              <w:rPr>
                <w:b/>
                <w:bCs/>
                <w:color w:val="FFFFFF"/>
                <w:sz w:val="19"/>
                <w:szCs w:val="19"/>
              </w:rPr>
              <w:t xml:space="preserve">Item</w:t>
            </w:r>
          </w:p>
        </w:tc>
        <w:tc>
          <w:tcPr>
            <w:tcW w:type="dxa" w:w="3600"/>
            <w:shd w:fill="1A1A1A" w:val="clear"/>
            <w:tcMar>
              <w:top w:type="dxa" w:w="100"/>
              <w:left w:type="dxa" w:w="120"/>
              <w:bottom w:type="dxa" w:w="100"/>
              <w:right w:type="dxa" w:w="120"/>
            </w:tcMar>
            <w:vAlign w:val="center"/>
          </w:tcPr>
          <w:p>
            <w:r>
              <w:rPr>
                <w:b/>
                <w:bCs/>
                <w:color w:val="FFFFFF"/>
                <w:sz w:val="19"/>
                <w:szCs w:val="19"/>
              </w:rPr>
              <w:t xml:space="preserve">What it is</w:t>
            </w:r>
          </w:p>
        </w:tc>
        <w:tc>
          <w:tcPr>
            <w:tcW w:type="dxa" w:w="3080"/>
            <w:shd w:fill="1A1A1A" w:val="clear"/>
            <w:tcMar>
              <w:top w:type="dxa" w:w="100"/>
              <w:left w:type="dxa" w:w="120"/>
              <w:bottom w:type="dxa" w:w="100"/>
              <w:right w:type="dxa" w:w="120"/>
            </w:tcMar>
            <w:vAlign w:val="center"/>
          </w:tcPr>
          <w:p>
            <w:r>
              <w:rPr>
                <w:b/>
                <w:bCs/>
                <w:color w:val="FFFFFF"/>
                <w:sz w:val="19"/>
                <w:szCs w:val="19"/>
              </w:rPr>
              <w:t xml:space="preserve">Why it is needed</w:t>
            </w:r>
          </w:p>
        </w:tc>
      </w:tr>
      <w:tr>
        <w:tc>
          <w:tcPr>
            <w:tcW w:type="dxa" w:w="2400"/>
            <w:tcMar>
              <w:top w:type="dxa" w:w="90"/>
              <w:left w:type="dxa" w:w="120"/>
              <w:bottom w:type="dxa" w:w="90"/>
              <w:right w:type="dxa" w:w="120"/>
            </w:tcMar>
            <w:vAlign w:val="center"/>
          </w:tcPr>
          <w:p>
            <w:r>
              <w:rPr>
                <w:b/>
                <w:bCs/>
                <w:i w:val="false"/>
                <w:iCs w:val="false"/>
                <w:color w:val="1A1A1A"/>
                <w:sz w:val="19"/>
                <w:szCs w:val="19"/>
              </w:rPr>
              <w:t xml:space="preserve">Firebase service account</w:t>
            </w:r>
          </w:p>
        </w:tc>
        <w:tc>
          <w:tcPr>
            <w:tcW w:type="dxa" w:w="3600"/>
            <w:tcMar>
              <w:top w:type="dxa" w:w="90"/>
              <w:left w:type="dxa" w:w="120"/>
              <w:bottom w:type="dxa" w:w="90"/>
              <w:right w:type="dxa" w:w="120"/>
            </w:tcMar>
            <w:vAlign w:val="center"/>
          </w:tcPr>
          <w:p>
            <w:r>
              <w:rPr>
                <w:b w:val="false"/>
                <w:bCs w:val="false"/>
                <w:i w:val="false"/>
                <w:iCs w:val="false"/>
                <w:color w:val="1A1A1A"/>
                <w:sz w:val="19"/>
                <w:szCs w:val="19"/>
              </w:rPr>
              <w:t xml:space="preserve">Admin-side credentials (project ID, client email, private key) for a Firebase service account with access to the client’s Firebase project.</w:t>
            </w:r>
          </w:p>
        </w:tc>
        <w:tc>
          <w:tcPr>
            <w:tcW w:type="dxa" w:w="3080"/>
            <w:tcMar>
              <w:top w:type="dxa" w:w="90"/>
              <w:left w:type="dxa" w:w="120"/>
              <w:bottom w:type="dxa" w:w="90"/>
              <w:right w:type="dxa" w:w="120"/>
            </w:tcMar>
            <w:vAlign w:val="center"/>
          </w:tcPr>
          <w:p>
            <w:r>
              <w:rPr>
                <w:b w:val="false"/>
                <w:bCs w:val="false"/>
                <w:i w:val="false"/>
                <w:iCs w:val="false"/>
                <w:color w:val="1A1A1A"/>
                <w:sz w:val="19"/>
                <w:szCs w:val="19"/>
              </w:rPr>
              <w:t xml:space="preserve">Lets the backend verify user login sessions and manage accounts securely on the server side.</w:t>
            </w:r>
          </w:p>
        </w:tc>
      </w:tr>
      <w:tr>
        <w:tc>
          <w:tcPr>
            <w:tcW w:type="dxa" w:w="2400"/>
            <w:shd w:fill="F2F2F2" w:val="clear"/>
            <w:tcMar>
              <w:top w:type="dxa" w:w="90"/>
              <w:left w:type="dxa" w:w="120"/>
              <w:bottom w:type="dxa" w:w="90"/>
              <w:right w:type="dxa" w:w="120"/>
            </w:tcMar>
            <w:vAlign w:val="center"/>
          </w:tcPr>
          <w:p>
            <w:r>
              <w:rPr>
                <w:b/>
                <w:bCs/>
                <w:i w:val="false"/>
                <w:iCs w:val="false"/>
                <w:color w:val="1A1A1A"/>
                <w:sz w:val="19"/>
                <w:szCs w:val="19"/>
              </w:rPr>
              <w:t xml:space="preserve">Firebase client config</w:t>
            </w:r>
          </w:p>
        </w:tc>
        <w:tc>
          <w:tcPr>
            <w:tcW w:type="dxa" w:w="360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Public-facing config values (API key, auth domain, project ID, storage bucket, sender ID, app ID) — needed once for the web admin dashboard and once for the mobile app.</w:t>
            </w:r>
          </w:p>
        </w:tc>
        <w:tc>
          <w:tcPr>
            <w:tcW w:type="dxa" w:w="308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Lets the web app and mobile app connect to Firebase for user sign-in and for storing uploaded files (KYC documents, property photos).</w:t>
            </w:r>
          </w:p>
        </w:tc>
      </w:tr>
    </w:tbl>
    <w:p>
      <w:pPr>
        <w:pBdr>
          <w:top w:val="single" w:color="FFF6E5" w:sz="2" w:space="4"/>
          <w:bottom w:val="single" w:color="FFF6E5" w:sz="2" w:space="4"/>
          <w:left w:val="single" w:color="B8860B" w:sz="18" w:space="8"/>
          <w:right w:val="single" w:color="FFF6E5" w:sz="2" w:space="4"/>
        </w:pBdr>
        <w:shd w:fill="FFF6E5" w:val="clear"/>
        <w:spacing w:after="200" w:before="100"/>
        <w:ind w:left="100" w:right="100"/>
      </w:pPr>
      <w:r>
        <w:rPr>
          <w:i/>
          <w:iCs/>
          <w:color w:val="1A1A1A"/>
          <w:sz w:val="20"/>
          <w:szCs w:val="20"/>
        </w:rPr>
        <w:t xml:space="preserve">If this should be the client’s own Firebase project rather than the one used during development, the client needs to either create a Firebase project and grant the dev team access to generate a service account key, or generate one themselves and share it securely (never over email/chat in plain text — use a password manager or secrets vault).</w:t>
      </w:r>
    </w:p>
    <w:p>
      <w:pPr>
        <w:pStyle w:val="Heading2"/>
        <w:spacing w:after="120" w:before="280"/>
      </w:pPr>
      <w:r>
        <w:rPr>
          <w:b/>
          <w:bCs/>
          <w:color w:val="B8860B"/>
          <w:sz w:val="22"/>
          <w:szCs w:val="22"/>
        </w:rPr>
        <w:t xml:space="preserve">3.3 Razorpay (Payments)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80"/>
      </w:tblGrid>
      <w:tr>
        <w:trPr>
          <w:tblHeader/>
        </w:trPr>
        <w:tc>
          <w:tcPr>
            <w:tcW w:type="dxa" w:w="2400"/>
            <w:shd w:fill="1A1A1A" w:val="clear"/>
            <w:tcMar>
              <w:top w:type="dxa" w:w="100"/>
              <w:left w:type="dxa" w:w="120"/>
              <w:bottom w:type="dxa" w:w="100"/>
              <w:right w:type="dxa" w:w="120"/>
            </w:tcMar>
            <w:vAlign w:val="center"/>
          </w:tcPr>
          <w:p>
            <w:r>
              <w:rPr>
                <w:b/>
                <w:bCs/>
                <w:color w:val="FFFFFF"/>
                <w:sz w:val="19"/>
                <w:szCs w:val="19"/>
              </w:rPr>
              <w:t xml:space="preserve">Item</w:t>
            </w:r>
          </w:p>
        </w:tc>
        <w:tc>
          <w:tcPr>
            <w:tcW w:type="dxa" w:w="3600"/>
            <w:shd w:fill="1A1A1A" w:val="clear"/>
            <w:tcMar>
              <w:top w:type="dxa" w:w="100"/>
              <w:left w:type="dxa" w:w="120"/>
              <w:bottom w:type="dxa" w:w="100"/>
              <w:right w:type="dxa" w:w="120"/>
            </w:tcMar>
            <w:vAlign w:val="center"/>
          </w:tcPr>
          <w:p>
            <w:r>
              <w:rPr>
                <w:b/>
                <w:bCs/>
                <w:color w:val="FFFFFF"/>
                <w:sz w:val="19"/>
                <w:szCs w:val="19"/>
              </w:rPr>
              <w:t xml:space="preserve">What it is</w:t>
            </w:r>
          </w:p>
        </w:tc>
        <w:tc>
          <w:tcPr>
            <w:tcW w:type="dxa" w:w="3080"/>
            <w:shd w:fill="1A1A1A" w:val="clear"/>
            <w:tcMar>
              <w:top w:type="dxa" w:w="100"/>
              <w:left w:type="dxa" w:w="120"/>
              <w:bottom w:type="dxa" w:w="100"/>
              <w:right w:type="dxa" w:w="120"/>
            </w:tcMar>
            <w:vAlign w:val="center"/>
          </w:tcPr>
          <w:p>
            <w:r>
              <w:rPr>
                <w:b/>
                <w:bCs/>
                <w:color w:val="FFFFFF"/>
                <w:sz w:val="19"/>
                <w:szCs w:val="19"/>
              </w:rPr>
              <w:t xml:space="preserve">Why it is needed</w:t>
            </w:r>
          </w:p>
        </w:tc>
      </w:tr>
      <w:tr>
        <w:tc>
          <w:tcPr>
            <w:tcW w:type="dxa" w:w="2400"/>
            <w:tcMar>
              <w:top w:type="dxa" w:w="90"/>
              <w:left w:type="dxa" w:w="120"/>
              <w:bottom w:type="dxa" w:w="90"/>
              <w:right w:type="dxa" w:w="120"/>
            </w:tcMar>
            <w:vAlign w:val="center"/>
          </w:tcPr>
          <w:p>
            <w:r>
              <w:rPr>
                <w:b/>
                <w:bCs/>
                <w:i w:val="false"/>
                <w:iCs w:val="false"/>
                <w:color w:val="1A1A1A"/>
                <w:sz w:val="19"/>
                <w:szCs w:val="19"/>
              </w:rPr>
              <w:t xml:space="preserve">Razorpay live API keys</w:t>
            </w:r>
          </w:p>
        </w:tc>
        <w:tc>
          <w:tcPr>
            <w:tcW w:type="dxa" w:w="3600"/>
            <w:tcMar>
              <w:top w:type="dxa" w:w="90"/>
              <w:left w:type="dxa" w:w="120"/>
              <w:bottom w:type="dxa" w:w="90"/>
              <w:right w:type="dxa" w:w="120"/>
            </w:tcMar>
            <w:vAlign w:val="center"/>
          </w:tcPr>
          <w:p>
            <w:r>
              <w:rPr>
                <w:b w:val="false"/>
                <w:bCs w:val="false"/>
                <w:i w:val="false"/>
                <w:iCs w:val="false"/>
                <w:color w:val="1A1A1A"/>
                <w:sz w:val="19"/>
                <w:szCs w:val="19"/>
              </w:rPr>
              <w:t xml:space="preserve">A Key ID and Key Secret from an active, KYC-verified Razorpay account, plus the public Key ID for the mobile app.</w:t>
            </w:r>
          </w:p>
        </w:tc>
        <w:tc>
          <w:tcPr>
            <w:tcW w:type="dxa" w:w="3080"/>
            <w:tcMar>
              <w:top w:type="dxa" w:w="90"/>
              <w:left w:type="dxa" w:w="120"/>
              <w:bottom w:type="dxa" w:w="90"/>
              <w:right w:type="dxa" w:w="120"/>
            </w:tcMar>
            <w:vAlign w:val="center"/>
          </w:tcPr>
          <w:p>
            <w:r>
              <w:rPr>
                <w:b w:val="false"/>
                <w:bCs w:val="false"/>
                <w:i w:val="false"/>
                <w:iCs w:val="false"/>
                <w:color w:val="1A1A1A"/>
                <w:sz w:val="19"/>
                <w:szCs w:val="19"/>
              </w:rPr>
              <w:t xml:space="preserve">This is what actually processes real investment payments from users. The values currently in the project are test-mode keys and cannot take real money.</w:t>
            </w:r>
          </w:p>
        </w:tc>
      </w:tr>
    </w:tbl>
    <w:p>
      <w:pPr>
        <w:pBdr>
          <w:top w:val="single" w:color="FFF6E5" w:sz="2" w:space="4"/>
          <w:bottom w:val="single" w:color="FFF6E5" w:sz="2" w:space="4"/>
          <w:left w:val="single" w:color="B8860B" w:sz="18" w:space="8"/>
          <w:right w:val="single" w:color="FFF6E5" w:sz="2" w:space="4"/>
        </w:pBdr>
        <w:shd w:fill="FFF6E5" w:val="clear"/>
        <w:spacing w:after="200" w:before="100"/>
        <w:ind w:left="100" w:right="100"/>
      </w:pPr>
      <w:r>
        <w:rPr>
          <w:i/>
          <w:iCs/>
          <w:color w:val="1A1A1A"/>
          <w:sz w:val="20"/>
          <w:szCs w:val="20"/>
        </w:rPr>
        <w:t xml:space="preserve">Going live requires the client’s Razorpay account to be fully KYC-verified and activated for live payments on Razorpay’s side — this is a step the client needs to complete directly with Razorpay before live keys are even issued.</w:t>
      </w:r>
    </w:p>
    <w:p>
      <w:pPr>
        <w:pStyle w:val="Heading2"/>
        <w:spacing w:after="120" w:before="280"/>
      </w:pPr>
      <w:r>
        <w:rPr>
          <w:b/>
          <w:bCs/>
          <w:color w:val="B8860B"/>
          <w:sz w:val="22"/>
          <w:szCs w:val="22"/>
        </w:rPr>
        <w:t xml:space="preserve">3.4 KYC Verification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80"/>
      </w:tblGrid>
      <w:tr>
        <w:trPr>
          <w:tblHeader/>
        </w:trPr>
        <w:tc>
          <w:tcPr>
            <w:tcW w:type="dxa" w:w="2400"/>
            <w:shd w:fill="1A1A1A" w:val="clear"/>
            <w:tcMar>
              <w:top w:type="dxa" w:w="100"/>
              <w:left w:type="dxa" w:w="120"/>
              <w:bottom w:type="dxa" w:w="100"/>
              <w:right w:type="dxa" w:w="120"/>
            </w:tcMar>
            <w:vAlign w:val="center"/>
          </w:tcPr>
          <w:p>
            <w:r>
              <w:rPr>
                <w:b/>
                <w:bCs/>
                <w:color w:val="FFFFFF"/>
                <w:sz w:val="19"/>
                <w:szCs w:val="19"/>
              </w:rPr>
              <w:t xml:space="preserve">Item</w:t>
            </w:r>
          </w:p>
        </w:tc>
        <w:tc>
          <w:tcPr>
            <w:tcW w:type="dxa" w:w="3600"/>
            <w:shd w:fill="1A1A1A" w:val="clear"/>
            <w:tcMar>
              <w:top w:type="dxa" w:w="100"/>
              <w:left w:type="dxa" w:w="120"/>
              <w:bottom w:type="dxa" w:w="100"/>
              <w:right w:type="dxa" w:w="120"/>
            </w:tcMar>
            <w:vAlign w:val="center"/>
          </w:tcPr>
          <w:p>
            <w:r>
              <w:rPr>
                <w:b/>
                <w:bCs/>
                <w:color w:val="FFFFFF"/>
                <w:sz w:val="19"/>
                <w:szCs w:val="19"/>
              </w:rPr>
              <w:t xml:space="preserve">What it is</w:t>
            </w:r>
          </w:p>
        </w:tc>
        <w:tc>
          <w:tcPr>
            <w:tcW w:type="dxa" w:w="3080"/>
            <w:shd w:fill="1A1A1A" w:val="clear"/>
            <w:tcMar>
              <w:top w:type="dxa" w:w="100"/>
              <w:left w:type="dxa" w:w="120"/>
              <w:bottom w:type="dxa" w:w="100"/>
              <w:right w:type="dxa" w:w="120"/>
            </w:tcMar>
            <w:vAlign w:val="center"/>
          </w:tcPr>
          <w:p>
            <w:r>
              <w:rPr>
                <w:b/>
                <w:bCs/>
                <w:color w:val="FFFFFF"/>
                <w:sz w:val="19"/>
                <w:szCs w:val="19"/>
              </w:rPr>
              <w:t xml:space="preserve">Why it is needed</w:t>
            </w:r>
          </w:p>
        </w:tc>
      </w:tr>
      <w:tr>
        <w:tc>
          <w:tcPr>
            <w:tcW w:type="dxa" w:w="2400"/>
            <w:tcMar>
              <w:top w:type="dxa" w:w="90"/>
              <w:left w:type="dxa" w:w="120"/>
              <w:bottom w:type="dxa" w:w="90"/>
              <w:right w:type="dxa" w:w="120"/>
            </w:tcMar>
            <w:vAlign w:val="center"/>
          </w:tcPr>
          <w:p>
            <w:r>
              <w:rPr>
                <w:b/>
                <w:bCs/>
                <w:i w:val="false"/>
                <w:iCs w:val="false"/>
                <w:color w:val="1A1A1A"/>
                <w:sz w:val="19"/>
                <w:szCs w:val="19"/>
              </w:rPr>
              <w:t xml:space="preserve">Surepass API token</w:t>
            </w:r>
          </w:p>
        </w:tc>
        <w:tc>
          <w:tcPr>
            <w:tcW w:type="dxa" w:w="3600"/>
            <w:tcMar>
              <w:top w:type="dxa" w:w="90"/>
              <w:left w:type="dxa" w:w="120"/>
              <w:bottom w:type="dxa" w:w="90"/>
              <w:right w:type="dxa" w:w="120"/>
            </w:tcMar>
            <w:vAlign w:val="center"/>
          </w:tcPr>
          <w:p>
            <w:r>
              <w:rPr>
                <w:b w:val="false"/>
                <w:bCs w:val="false"/>
                <w:i w:val="false"/>
                <w:iCs w:val="false"/>
                <w:color w:val="1A1A1A"/>
                <w:sz w:val="19"/>
                <w:szCs w:val="19"/>
              </w:rPr>
              <w:t xml:space="preserve">An API base URL and token from Surepass, a third-party service used to verify users’ PAN and Aadhaar during onboarding.</w:t>
            </w:r>
          </w:p>
        </w:tc>
        <w:tc>
          <w:tcPr>
            <w:tcW w:type="dxa" w:w="3080"/>
            <w:tcMar>
              <w:top w:type="dxa" w:w="90"/>
              <w:left w:type="dxa" w:w="120"/>
              <w:bottom w:type="dxa" w:w="90"/>
              <w:right w:type="dxa" w:w="120"/>
            </w:tcMar>
            <w:vAlign w:val="center"/>
          </w:tcPr>
          <w:p>
            <w:r>
              <w:rPr>
                <w:b w:val="false"/>
                <w:bCs w:val="false"/>
                <w:i w:val="false"/>
                <w:iCs w:val="false"/>
                <w:color w:val="1A1A1A"/>
                <w:sz w:val="19"/>
                <w:szCs w:val="19"/>
              </w:rPr>
              <w:t xml:space="preserve">Required for the app’s KYC verification step. The token currently in the project is a placeholder and does not work — the client needs an active Surepass account.</w:t>
            </w:r>
          </w:p>
        </w:tc>
      </w:tr>
      <w:tr>
        <w:tc>
          <w:tcPr>
            <w:tcW w:type="dxa" w:w="2400"/>
            <w:shd w:fill="F2F2F2" w:val="clear"/>
            <w:tcMar>
              <w:top w:type="dxa" w:w="90"/>
              <w:left w:type="dxa" w:w="120"/>
              <w:bottom w:type="dxa" w:w="90"/>
              <w:right w:type="dxa" w:w="120"/>
            </w:tcMar>
            <w:vAlign w:val="center"/>
          </w:tcPr>
          <w:p>
            <w:r>
              <w:rPr>
                <w:b/>
                <w:bCs/>
                <w:i w:val="false"/>
                <w:iCs w:val="false"/>
                <w:color w:val="1A1A1A"/>
                <w:sz w:val="19"/>
                <w:szCs w:val="19"/>
              </w:rPr>
              <w:t xml:space="preserve">DigiLocker credentials</w:t>
            </w:r>
          </w:p>
        </w:tc>
        <w:tc>
          <w:tcPr>
            <w:tcW w:type="dxa" w:w="360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Client ID, Client Secret, Auth URL, and Redirect URI for a registered DigiLocker integration (India’s government document-verification service).</w:t>
            </w:r>
          </w:p>
        </w:tc>
        <w:tc>
          <w:tcPr>
            <w:tcW w:type="dxa" w:w="308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The codebase includes a DigiLocker-based KYC flow that reads these values, but none are currently configured anywhere. The client needs to either register this integration and provide the credentials, or confirm this flow should be removed from the app.</w:t>
            </w:r>
          </w:p>
        </w:tc>
      </w:tr>
    </w:tbl>
    <w:p>
      <w:pPr>
        <w:pStyle w:val="Heading2"/>
        <w:spacing w:after="120" w:before="280"/>
      </w:pPr>
      <w:r>
        <w:rPr>
          <w:b/>
          <w:bCs/>
          <w:color w:val="B8860B"/>
          <w:sz w:val="22"/>
          <w:szCs w:val="22"/>
        </w:rPr>
        <w:t xml:space="preserve">3.5 Email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80"/>
      </w:tblGrid>
      <w:tr>
        <w:trPr>
          <w:tblHeader/>
        </w:trPr>
        <w:tc>
          <w:tcPr>
            <w:tcW w:type="dxa" w:w="2400"/>
            <w:shd w:fill="1A1A1A" w:val="clear"/>
            <w:tcMar>
              <w:top w:type="dxa" w:w="100"/>
              <w:left w:type="dxa" w:w="120"/>
              <w:bottom w:type="dxa" w:w="100"/>
              <w:right w:type="dxa" w:w="120"/>
            </w:tcMar>
            <w:vAlign w:val="center"/>
          </w:tcPr>
          <w:p>
            <w:r>
              <w:rPr>
                <w:b/>
                <w:bCs/>
                <w:color w:val="FFFFFF"/>
                <w:sz w:val="19"/>
                <w:szCs w:val="19"/>
              </w:rPr>
              <w:t xml:space="preserve">Item</w:t>
            </w:r>
          </w:p>
        </w:tc>
        <w:tc>
          <w:tcPr>
            <w:tcW w:type="dxa" w:w="3600"/>
            <w:shd w:fill="1A1A1A" w:val="clear"/>
            <w:tcMar>
              <w:top w:type="dxa" w:w="100"/>
              <w:left w:type="dxa" w:w="120"/>
              <w:bottom w:type="dxa" w:w="100"/>
              <w:right w:type="dxa" w:w="120"/>
            </w:tcMar>
            <w:vAlign w:val="center"/>
          </w:tcPr>
          <w:p>
            <w:r>
              <w:rPr>
                <w:b/>
                <w:bCs/>
                <w:color w:val="FFFFFF"/>
                <w:sz w:val="19"/>
                <w:szCs w:val="19"/>
              </w:rPr>
              <w:t xml:space="preserve">What it is</w:t>
            </w:r>
          </w:p>
        </w:tc>
        <w:tc>
          <w:tcPr>
            <w:tcW w:type="dxa" w:w="3080"/>
            <w:shd w:fill="1A1A1A" w:val="clear"/>
            <w:tcMar>
              <w:top w:type="dxa" w:w="100"/>
              <w:left w:type="dxa" w:w="120"/>
              <w:bottom w:type="dxa" w:w="100"/>
              <w:right w:type="dxa" w:w="120"/>
            </w:tcMar>
            <w:vAlign w:val="center"/>
          </w:tcPr>
          <w:p>
            <w:r>
              <w:rPr>
                <w:b/>
                <w:bCs/>
                <w:color w:val="FFFFFF"/>
                <w:sz w:val="19"/>
                <w:szCs w:val="19"/>
              </w:rPr>
              <w:t xml:space="preserve">Why it is needed</w:t>
            </w:r>
          </w:p>
        </w:tc>
      </w:tr>
      <w:tr>
        <w:tc>
          <w:tcPr>
            <w:tcW w:type="dxa" w:w="2400"/>
            <w:tcMar>
              <w:top w:type="dxa" w:w="90"/>
              <w:left w:type="dxa" w:w="120"/>
              <w:bottom w:type="dxa" w:w="90"/>
              <w:right w:type="dxa" w:w="120"/>
            </w:tcMar>
            <w:vAlign w:val="center"/>
          </w:tcPr>
          <w:p>
            <w:r>
              <w:rPr>
                <w:b/>
                <w:bCs/>
                <w:i w:val="false"/>
                <w:iCs w:val="false"/>
                <w:color w:val="1A1A1A"/>
                <w:sz w:val="19"/>
                <w:szCs w:val="19"/>
              </w:rPr>
              <w:t xml:space="preserve">SMTP credentials</w:t>
            </w:r>
          </w:p>
        </w:tc>
        <w:tc>
          <w:tcPr>
            <w:tcW w:type="dxa" w:w="3600"/>
            <w:tcMar>
              <w:top w:type="dxa" w:w="90"/>
              <w:left w:type="dxa" w:w="120"/>
              <w:bottom w:type="dxa" w:w="90"/>
              <w:right w:type="dxa" w:w="120"/>
            </w:tcMar>
            <w:vAlign w:val="center"/>
          </w:tcPr>
          <w:p>
            <w:r>
              <w:rPr>
                <w:b w:val="false"/>
                <w:bCs w:val="false"/>
                <w:i w:val="false"/>
                <w:iCs w:val="false"/>
                <w:color w:val="1A1A1A"/>
                <w:sz w:val="19"/>
                <w:szCs w:val="19"/>
              </w:rPr>
              <w:t xml:space="preserve">An email address and password/app-password for sending transactional emails (confirmations, notifications).</w:t>
            </w:r>
          </w:p>
        </w:tc>
        <w:tc>
          <w:tcPr>
            <w:tcW w:type="dxa" w:w="3080"/>
            <w:tcMar>
              <w:top w:type="dxa" w:w="90"/>
              <w:left w:type="dxa" w:w="120"/>
              <w:bottom w:type="dxa" w:w="90"/>
              <w:right w:type="dxa" w:w="120"/>
            </w:tcMar>
            <w:vAlign w:val="center"/>
          </w:tcPr>
          <w:p>
            <w:r>
              <w:rPr>
                <w:b w:val="false"/>
                <w:bCs w:val="false"/>
                <w:i w:val="false"/>
                <w:iCs w:val="false"/>
                <w:color w:val="1A1A1A"/>
                <w:sz w:val="19"/>
                <w:szCs w:val="19"/>
              </w:rPr>
              <w:t xml:space="preserve">The value currently in the project is a personal Gmail account. Recommend the client provide a proper company email (e.g. through their own domain) and use a transactional email provider rather than a personal inbox, for both reliability and professionalism.</w:t>
            </w:r>
          </w:p>
        </w:tc>
      </w:tr>
    </w:tbl>
    <w:p>
      <w:pPr>
        <w:pStyle w:val="Heading1"/>
        <w:pBdr>
          <w:bottom w:val="single" w:color="B8860B" w:sz="6" w:space="4"/>
        </w:pBdr>
        <w:spacing w:after="200" w:before="400"/>
      </w:pPr>
      <w:r>
        <w:rPr>
          <w:b/>
          <w:bCs/>
          <w:color w:val="1A1A1A"/>
          <w:sz w:val="28"/>
          <w:szCs w:val="28"/>
        </w:rPr>
        <w:t xml:space="preserve">4. Deployment Configuration (not credentials, but decisions needed)</w:t>
      </w:r>
    </w:p>
    <w:p>
      <w:pPr>
        <w:spacing w:after="160" w:line="276"/>
      </w:pPr>
      <w:r>
        <w:rPr>
          <w:color w:val="1A1A1A"/>
          <w:sz w:val="21"/>
          <w:szCs w:val="21"/>
        </w:rPr>
        <w:t xml:space="preserve">These are not secrets the client needs to hand over — they are real-world values and decisions the client needs to confirm once hosting is finalized:</w:t>
      </w:r>
    </w:p>
    <w:p>
      <w:pPr>
        <w:pStyle w:val="ListParagraph"/>
        <w:numPr>
          <w:ilvl w:val="0"/>
          <w:numId w:val="2"/>
        </w:numPr>
        <w:spacing w:after="90"/>
      </w:pPr>
      <w:r>
        <w:rPr>
          <w:color w:val="1A1A1A"/>
          <w:sz w:val="21"/>
          <w:szCs w:val="21"/>
        </w:rPr>
        <w:t xml:space="preserve">The production URL for the web admin dashboard (used by the mobile app to link out to the full admin console).</w:t>
      </w:r>
    </w:p>
    <w:p>
      <w:pPr>
        <w:pStyle w:val="ListParagraph"/>
        <w:numPr>
          <w:ilvl w:val="0"/>
          <w:numId w:val="2"/>
        </w:numPr>
        <w:spacing w:after="90"/>
      </w:pPr>
      <w:r>
        <w:rPr>
          <w:color w:val="1A1A1A"/>
          <w:sz w:val="21"/>
          <w:szCs w:val="21"/>
        </w:rPr>
        <w:t xml:space="preserve">The production API URL the mobile app will call (this changes once the backend has a final home — see Section 2).</w:t>
      </w:r>
    </w:p>
    <w:p>
      <w:pPr>
        <w:pStyle w:val="ListParagraph"/>
        <w:numPr>
          <w:ilvl w:val="0"/>
          <w:numId w:val="2"/>
        </w:numPr>
        <w:spacing w:after="90"/>
      </w:pPr>
      <w:r>
        <w:rPr>
          <w:color w:val="1A1A1A"/>
          <w:sz w:val="21"/>
          <w:szCs w:val="21"/>
        </w:rPr>
        <w:t xml:space="preserve">Which origins/domains are allowed to call the API (a short list of the web app’s and mobile app’s real domains).</w:t>
      </w:r>
    </w:p>
    <w:p>
      <w:pPr>
        <w:pStyle w:val="ListParagraph"/>
        <w:numPr>
          <w:ilvl w:val="0"/>
          <w:numId w:val="2"/>
        </w:numPr>
        <w:spacing w:after="90"/>
      </w:pPr>
      <w:r>
        <w:rPr>
          <w:color w:val="1A1A1A"/>
          <w:sz w:val="21"/>
          <w:szCs w:val="21"/>
        </w:rPr>
        <w:t xml:space="preserve">The employee sign-in URL used in staff-invitation emails.</w:t>
      </w:r>
    </w:p>
    <w:p>
      <w:pPr>
        <w:pBdr>
          <w:top w:val="single" w:color="FFF6E5" w:sz="2" w:space="4"/>
          <w:bottom w:val="single" w:color="FFF6E5" w:sz="2" w:space="4"/>
          <w:left w:val="single" w:color="B8860B" w:sz="18" w:space="8"/>
          <w:right w:val="single" w:color="FFF6E5" w:sz="2" w:space="4"/>
        </w:pBdr>
        <w:shd w:fill="FFF6E5" w:val="clear"/>
        <w:spacing w:after="200" w:before="100"/>
        <w:ind w:left="100" w:right="100"/>
      </w:pPr>
      <w:r>
        <w:rPr>
          <w:i/>
          <w:iCs/>
          <w:color w:val="1A1A1A"/>
          <w:sz w:val="20"/>
          <w:szCs w:val="20"/>
        </w:rPr>
        <w:t xml:space="preserve">One value, a bootstrap secret used only once to create the very first admin account, is generated by the development team — not provided by the client.</w:t>
      </w:r>
    </w:p>
    <w:p>
      <w:pPr>
        <w:pStyle w:val="Heading1"/>
        <w:pBdr>
          <w:bottom w:val="single" w:color="B8860B" w:sz="6" w:space="4"/>
        </w:pBdr>
        <w:spacing w:after="200" w:before="400"/>
      </w:pPr>
      <w:r>
        <w:rPr>
          <w:b/>
          <w:bCs/>
          <w:color w:val="1A1A1A"/>
          <w:sz w:val="28"/>
          <w:szCs w:val="28"/>
        </w:rPr>
        <w:t xml:space="preserve">5. Account Access Required (not env vars)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80"/>
      </w:tblGrid>
      <w:tr>
        <w:trPr>
          <w:tblHeader/>
        </w:trPr>
        <w:tc>
          <w:tcPr>
            <w:tcW w:type="dxa" w:w="2600"/>
            <w:shd w:fill="1A1A1A" w:val="clear"/>
            <w:tcMar>
              <w:top w:type="dxa" w:w="100"/>
              <w:left w:type="dxa" w:w="120"/>
              <w:bottom w:type="dxa" w:w="100"/>
              <w:right w:type="dxa" w:w="120"/>
            </w:tcMar>
            <w:vAlign w:val="center"/>
          </w:tcPr>
          <w:p>
            <w:r>
              <w:rPr>
                <w:b/>
                <w:bCs/>
                <w:color w:val="FFFFFF"/>
                <w:sz w:val="19"/>
                <w:szCs w:val="19"/>
              </w:rPr>
              <w:t xml:space="preserve">Item</w:t>
            </w:r>
          </w:p>
        </w:tc>
        <w:tc>
          <w:tcPr>
            <w:tcW w:type="dxa" w:w="3800"/>
            <w:shd w:fill="1A1A1A" w:val="clear"/>
            <w:tcMar>
              <w:top w:type="dxa" w:w="100"/>
              <w:left w:type="dxa" w:w="120"/>
              <w:bottom w:type="dxa" w:w="100"/>
              <w:right w:type="dxa" w:w="120"/>
            </w:tcMar>
            <w:vAlign w:val="center"/>
          </w:tcPr>
          <w:p>
            <w:r>
              <w:rPr>
                <w:b/>
                <w:bCs/>
                <w:color w:val="FFFFFF"/>
                <w:sz w:val="19"/>
                <w:szCs w:val="19"/>
              </w:rPr>
              <w:t xml:space="preserve">What it is</w:t>
            </w:r>
          </w:p>
        </w:tc>
        <w:tc>
          <w:tcPr>
            <w:tcW w:type="dxa" w:w="2680"/>
            <w:shd w:fill="1A1A1A" w:val="clear"/>
            <w:tcMar>
              <w:top w:type="dxa" w:w="100"/>
              <w:left w:type="dxa" w:w="120"/>
              <w:bottom w:type="dxa" w:w="100"/>
              <w:right w:type="dxa" w:w="120"/>
            </w:tcMar>
            <w:vAlign w:val="center"/>
          </w:tcPr>
          <w:p>
            <w:r>
              <w:rPr>
                <w:b/>
                <w:bCs/>
                <w:color w:val="FFFFFF"/>
                <w:sz w:val="19"/>
                <w:szCs w:val="19"/>
              </w:rPr>
              <w:t xml:space="preserve">Why it is needed</w:t>
            </w:r>
          </w:p>
        </w:tc>
      </w:tr>
      <w:tr>
        <w:tc>
          <w:tcPr>
            <w:tcW w:type="dxa" w:w="2600"/>
            <w:tcMar>
              <w:top w:type="dxa" w:w="90"/>
              <w:left w:type="dxa" w:w="120"/>
              <w:bottom w:type="dxa" w:w="90"/>
              <w:right w:type="dxa" w:w="120"/>
            </w:tcMar>
            <w:vAlign w:val="center"/>
          </w:tcPr>
          <w:p>
            <w:r>
              <w:rPr>
                <w:b/>
                <w:bCs/>
                <w:i w:val="false"/>
                <w:iCs w:val="false"/>
                <w:color w:val="1A1A1A"/>
                <w:sz w:val="19"/>
                <w:szCs w:val="19"/>
              </w:rPr>
              <w:t xml:space="preserve">Hosting account access</w:t>
            </w:r>
          </w:p>
        </w:tc>
        <w:tc>
          <w:tcPr>
            <w:tcW w:type="dxa" w:w="3800"/>
            <w:tcMar>
              <w:top w:type="dxa" w:w="90"/>
              <w:left w:type="dxa" w:w="120"/>
              <w:bottom w:type="dxa" w:w="90"/>
              <w:right w:type="dxa" w:w="120"/>
            </w:tcMar>
            <w:vAlign w:val="center"/>
          </w:tcPr>
          <w:p>
            <w:r>
              <w:rPr>
                <w:b w:val="false"/>
                <w:bCs w:val="false"/>
                <w:i w:val="false"/>
                <w:iCs w:val="false"/>
                <w:color w:val="1A1A1A"/>
                <w:sz w:val="19"/>
                <w:szCs w:val="19"/>
              </w:rPr>
              <w:t xml:space="preserve">Login access to whichever platform ends up hosting the running application (Render currently; GoDaddy VPS if Option B above is chosen).</w:t>
            </w:r>
          </w:p>
        </w:tc>
        <w:tc>
          <w:tcPr>
            <w:tcW w:type="dxa" w:w="2680"/>
            <w:tcMar>
              <w:top w:type="dxa" w:w="90"/>
              <w:left w:type="dxa" w:w="120"/>
              <w:bottom w:type="dxa" w:w="90"/>
              <w:right w:type="dxa" w:w="120"/>
            </w:tcMar>
            <w:vAlign w:val="center"/>
          </w:tcPr>
          <w:p>
            <w:r>
              <w:rPr>
                <w:b w:val="false"/>
                <w:bCs w:val="false"/>
                <w:i w:val="false"/>
                <w:iCs w:val="false"/>
                <w:color w:val="1A1A1A"/>
                <w:sz w:val="19"/>
                <w:szCs w:val="19"/>
              </w:rPr>
              <w:t xml:space="preserve">Needed to deploy the application and configure all the credentials above in a secure, production environment.</w:t>
            </w:r>
          </w:p>
        </w:tc>
      </w:tr>
      <w:tr>
        <w:tc>
          <w:tcPr>
            <w:tcW w:type="dxa" w:w="2600"/>
            <w:shd w:fill="F2F2F2" w:val="clear"/>
            <w:tcMar>
              <w:top w:type="dxa" w:w="90"/>
              <w:left w:type="dxa" w:w="120"/>
              <w:bottom w:type="dxa" w:w="90"/>
              <w:right w:type="dxa" w:w="120"/>
            </w:tcMar>
            <w:vAlign w:val="center"/>
          </w:tcPr>
          <w:p>
            <w:r>
              <w:rPr>
                <w:b/>
                <w:bCs/>
                <w:i w:val="false"/>
                <w:iCs w:val="false"/>
                <w:color w:val="1A1A1A"/>
                <w:sz w:val="19"/>
                <w:szCs w:val="19"/>
              </w:rPr>
              <w:t xml:space="preserve">Domain &amp; DNS access (GoDaddy)</w:t>
            </w:r>
          </w:p>
        </w:tc>
        <w:tc>
          <w:tcPr>
            <w:tcW w:type="dxa" w:w="380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Access to the client’s GoDaddy account, specifically the DNS management panel for their domain.</w:t>
            </w:r>
          </w:p>
        </w:tc>
        <w:tc>
          <w:tcPr>
            <w:tcW w:type="dxa" w:w="268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Needed to point the domain at the hosting provider, whichever one is used.</w:t>
            </w:r>
          </w:p>
        </w:tc>
      </w:tr>
      <w:tr>
        <w:tc>
          <w:tcPr>
            <w:tcW w:type="dxa" w:w="2600"/>
            <w:tcMar>
              <w:top w:type="dxa" w:w="90"/>
              <w:left w:type="dxa" w:w="120"/>
              <w:bottom w:type="dxa" w:w="90"/>
              <w:right w:type="dxa" w:w="120"/>
            </w:tcMar>
            <w:vAlign w:val="center"/>
          </w:tcPr>
          <w:p>
            <w:r>
              <w:rPr>
                <w:b/>
                <w:bCs/>
                <w:i w:val="false"/>
                <w:iCs w:val="false"/>
                <w:color w:val="1A1A1A"/>
                <w:sz w:val="19"/>
                <w:szCs w:val="19"/>
              </w:rPr>
              <w:t xml:space="preserve">Google Play Console access</w:t>
            </w:r>
          </w:p>
        </w:tc>
        <w:tc>
          <w:tcPr>
            <w:tcW w:type="dxa" w:w="3800"/>
            <w:tcMar>
              <w:top w:type="dxa" w:w="90"/>
              <w:left w:type="dxa" w:w="120"/>
              <w:bottom w:type="dxa" w:w="90"/>
              <w:right w:type="dxa" w:w="120"/>
            </w:tcMar>
            <w:vAlign w:val="center"/>
          </w:tcPr>
          <w:p>
            <w:r>
              <w:rPr>
                <w:b w:val="false"/>
                <w:bCs w:val="false"/>
                <w:i w:val="false"/>
                <w:iCs w:val="false"/>
                <w:color w:val="1A1A1A"/>
                <w:sz w:val="19"/>
                <w:szCs w:val="19"/>
              </w:rPr>
              <w:t xml:space="preserve">The client’s own Google Play Developer account (or an invitation for the dev team to publish under it).</w:t>
            </w:r>
          </w:p>
        </w:tc>
        <w:tc>
          <w:tcPr>
            <w:tcW w:type="dxa" w:w="2680"/>
            <w:tcMar>
              <w:top w:type="dxa" w:w="90"/>
              <w:left w:type="dxa" w:w="120"/>
              <w:bottom w:type="dxa" w:w="90"/>
              <w:right w:type="dxa" w:w="120"/>
            </w:tcMar>
            <w:vAlign w:val="center"/>
          </w:tcPr>
          <w:p>
            <w:r>
              <w:rPr>
                <w:b w:val="false"/>
                <w:bCs w:val="false"/>
                <w:i w:val="false"/>
                <w:iCs w:val="false"/>
                <w:color w:val="1A1A1A"/>
                <w:sz w:val="19"/>
                <w:szCs w:val="19"/>
              </w:rPr>
              <w:t xml:space="preserve">Required to publish the Android app publicly. This is the client’s account and typically has a one-time registration fee already paid by the client.</w:t>
            </w:r>
          </w:p>
        </w:tc>
      </w:tr>
      <w:tr>
        <w:tc>
          <w:tcPr>
            <w:tcW w:type="dxa" w:w="2600"/>
            <w:shd w:fill="F2F2F2" w:val="clear"/>
            <w:tcMar>
              <w:top w:type="dxa" w:w="90"/>
              <w:left w:type="dxa" w:w="120"/>
              <w:bottom w:type="dxa" w:w="90"/>
              <w:right w:type="dxa" w:w="120"/>
            </w:tcMar>
            <w:vAlign w:val="center"/>
          </w:tcPr>
          <w:p>
            <w:r>
              <w:rPr>
                <w:b/>
                <w:bCs/>
                <w:i w:val="false"/>
                <w:iCs w:val="false"/>
                <w:color w:val="1A1A1A"/>
                <w:sz w:val="19"/>
                <w:szCs w:val="19"/>
              </w:rPr>
              <w:t xml:space="preserve">Apple Developer account</w:t>
            </w:r>
          </w:p>
        </w:tc>
        <w:tc>
          <w:tcPr>
            <w:tcW w:type="dxa" w:w="380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Only needed if an iOS release is planned.</w:t>
            </w:r>
          </w:p>
        </w:tc>
        <w:tc>
          <w:tcPr>
            <w:tcW w:type="dxa" w:w="268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Required to publish to the App Store; has its own annual fee paid by the client.</w:t>
            </w:r>
          </w:p>
        </w:tc>
      </w:tr>
      <w:tr>
        <w:tc>
          <w:tcPr>
            <w:tcW w:type="dxa" w:w="2600"/>
            <w:tcMar>
              <w:top w:type="dxa" w:w="90"/>
              <w:left w:type="dxa" w:w="120"/>
              <w:bottom w:type="dxa" w:w="90"/>
              <w:right w:type="dxa" w:w="120"/>
            </w:tcMar>
            <w:vAlign w:val="center"/>
          </w:tcPr>
          <w:p>
            <w:r>
              <w:rPr>
                <w:b/>
                <w:bCs/>
                <w:i w:val="false"/>
                <w:iCs w:val="false"/>
                <w:color w:val="1A1A1A"/>
                <w:sz w:val="19"/>
                <w:szCs w:val="19"/>
              </w:rPr>
              <w:t xml:space="preserve">Expo / EAS account access</w:t>
            </w:r>
          </w:p>
        </w:tc>
        <w:tc>
          <w:tcPr>
            <w:tcW w:type="dxa" w:w="3800"/>
            <w:tcMar>
              <w:top w:type="dxa" w:w="90"/>
              <w:left w:type="dxa" w:w="120"/>
              <w:bottom w:type="dxa" w:w="90"/>
              <w:right w:type="dxa" w:w="120"/>
            </w:tcMar>
            <w:vAlign w:val="center"/>
          </w:tcPr>
          <w:p>
            <w:r>
              <w:rPr>
                <w:b w:val="false"/>
                <w:bCs w:val="false"/>
                <w:i w:val="false"/>
                <w:iCs w:val="false"/>
                <w:color w:val="1A1A1A"/>
                <w:sz w:val="19"/>
                <w:szCs w:val="19"/>
              </w:rPr>
              <w:t xml:space="preserve">Access to (or an invite to) the Expo account used to build and submit the mobile app.</w:t>
            </w:r>
          </w:p>
        </w:tc>
        <w:tc>
          <w:tcPr>
            <w:tcW w:type="dxa" w:w="2680"/>
            <w:tcMar>
              <w:top w:type="dxa" w:w="90"/>
              <w:left w:type="dxa" w:w="120"/>
              <w:bottom w:type="dxa" w:w="90"/>
              <w:right w:type="dxa" w:w="120"/>
            </w:tcMar>
            <w:vAlign w:val="center"/>
          </w:tcPr>
          <w:p>
            <w:r>
              <w:rPr>
                <w:b w:val="false"/>
                <w:bCs w:val="false"/>
                <w:i w:val="false"/>
                <w:iCs w:val="false"/>
                <w:color w:val="1A1A1A"/>
                <w:sz w:val="19"/>
                <w:szCs w:val="19"/>
              </w:rPr>
              <w:t xml:space="preserve">The tooling used to compile the React Native app into an installable Android/iOS build.</w:t>
            </w:r>
          </w:p>
        </w:tc>
      </w:tr>
    </w:tbl>
    <w:p>
      <w:pPr>
        <w:pStyle w:val="Heading1"/>
        <w:pBdr>
          <w:bottom w:val="single" w:color="B8860B" w:sz="6" w:space="4"/>
        </w:pBdr>
        <w:spacing w:after="200" w:before="400"/>
      </w:pPr>
      <w:r>
        <w:rPr>
          <w:b/>
          <w:bCs/>
          <w:color w:val="1A1A1A"/>
          <w:sz w:val="28"/>
          <w:szCs w:val="28"/>
        </w:rPr>
        <w:t xml:space="preserve">6. Security Note — Please Read Before Deployment</w:t>
      </w:r>
    </w:p>
    <w:p>
      <w:pPr>
        <w:pBdr>
          <w:top w:val="single" w:color="FDEAEA" w:sz="2" w:space="4"/>
          <w:bottom w:val="single" w:color="FDEAEA" w:sz="2" w:space="4"/>
          <w:left w:val="single" w:color="C00000" w:sz="18" w:space="8"/>
          <w:right w:val="single" w:color="FDEAEA" w:sz="2" w:space="4"/>
        </w:pBdr>
        <w:shd w:fill="FDEAEA" w:val="clear"/>
        <w:spacing w:after="200" w:before="100"/>
        <w:ind w:left="100" w:right="100"/>
      </w:pPr>
      <w:r>
        <w:rPr>
          <w:b/>
          <w:bCs/>
          <w:color w:val="C00000"/>
          <w:sz w:val="20"/>
          <w:szCs w:val="20"/>
        </w:rPr>
        <w:t xml:space="preserve">During review, real production secrets — including the live database password, the full Firebase private key, the Razorpay secret key, and the SMTP email password — were found committed directly into the project’s source control history (in plain text, inside files named render.env and android-app/.env).</w:t>
      </w:r>
    </w:p>
    <w:p>
      <w:pPr>
        <w:spacing w:after="160" w:line="276"/>
      </w:pPr>
      <w:r>
        <w:rPr>
          <w:color w:val="1A1A1A"/>
          <w:sz w:val="21"/>
          <w:szCs w:val="21"/>
        </w:rPr>
        <w:t xml:space="preserve">This means these specific values should be treated as already exposed and should not be reused in the production environment, regardless of who currently has access to the code repository. Before going live, the following should happen:</w:t>
      </w:r>
    </w:p>
    <w:p>
      <w:pPr>
        <w:pStyle w:val="ListParagraph"/>
        <w:numPr>
          <w:ilvl w:val="0"/>
          <w:numId w:val="2"/>
        </w:numPr>
        <w:spacing w:after="90"/>
      </w:pPr>
      <w:r>
        <w:rPr>
          <w:color w:val="1A1A1A"/>
          <w:sz w:val="21"/>
          <w:szCs w:val="21"/>
        </w:rPr>
        <w:t xml:space="preserve">Every credential currently sitting in those two files should be rotated (a new database password, a newly generated Firebase service account, a new Razorpay secret, a new SMTP password) rather than reused.</w:t>
      </w:r>
    </w:p>
    <w:p>
      <w:pPr>
        <w:pStyle w:val="ListParagraph"/>
        <w:numPr>
          <w:ilvl w:val="0"/>
          <w:numId w:val="2"/>
        </w:numPr>
        <w:spacing w:after="90"/>
      </w:pPr>
      <w:r>
        <w:rPr>
          <w:color w:val="1A1A1A"/>
          <w:sz w:val="21"/>
          <w:szCs w:val="21"/>
        </w:rPr>
        <w:t xml:space="preserve">Both files should be removed from git tracking going forward (added to .gitignore) so this cannot happen again.</w:t>
      </w:r>
    </w:p>
    <w:p>
      <w:pPr>
        <w:pStyle w:val="ListParagraph"/>
        <w:numPr>
          <w:ilvl w:val="0"/>
          <w:numId w:val="2"/>
        </w:numPr>
        <w:spacing w:after="90"/>
      </w:pPr>
      <w:r>
        <w:rPr>
          <w:color w:val="1A1A1A"/>
          <w:sz w:val="21"/>
          <w:szCs w:val="21"/>
        </w:rPr>
        <w:t xml:space="preserve">If the code repository has ever been shared outside the core development team, or made public at any point, the exposed values should be considered compromised and rotated as a priority, independent of the deployment timeline.</w:t>
      </w:r>
    </w:p>
    <w:p>
      <w:pPr>
        <w:pBdr>
          <w:top w:val="single" w:color="FFF6E5" w:sz="2" w:space="4"/>
          <w:bottom w:val="single" w:color="FFF6E5" w:sz="2" w:space="4"/>
          <w:left w:val="single" w:color="B8860B" w:sz="18" w:space="8"/>
          <w:right w:val="single" w:color="FFF6E5" w:sz="2" w:space="4"/>
        </w:pBdr>
        <w:shd w:fill="FFF6E5" w:val="clear"/>
        <w:spacing w:after="200" w:before="100"/>
        <w:ind w:left="100" w:right="100"/>
      </w:pPr>
      <w:r>
        <w:rPr>
          <w:i/>
          <w:iCs/>
          <w:color w:val="1A1A1A"/>
          <w:sz w:val="20"/>
          <w:szCs w:val="20"/>
        </w:rPr>
        <w:t xml:space="preserve">This is a one-time cleanup task, not a reason to delay deployment — flagging it here so it is handled deliberately rather than discovered later.</w:t>
      </w:r>
    </w:p>
    <w:p>
      <w:pPr>
        <w:pStyle w:val="Heading1"/>
        <w:pBdr>
          <w:bottom w:val="single" w:color="B8860B" w:sz="6" w:space="4"/>
        </w:pBdr>
        <w:spacing w:after="200" w:before="400"/>
      </w:pPr>
      <w:r>
        <w:rPr>
          <w:b/>
          <w:bCs/>
          <w:color w:val="1A1A1A"/>
          <w:sz w:val="28"/>
          <w:szCs w:val="28"/>
        </w:rPr>
        <w:t xml:space="preserve">7. Summary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580"/>
      </w:tblGrid>
      <w:tr>
        <w:trPr>
          <w:tblHeader/>
        </w:trPr>
        <w:tc>
          <w:tcPr>
            <w:tcW w:type="dxa" w:w="3600"/>
            <w:shd w:fill="1A1A1A" w:val="clear"/>
            <w:tcMar>
              <w:top w:type="dxa" w:w="100"/>
              <w:left w:type="dxa" w:w="120"/>
              <w:bottom w:type="dxa" w:w="100"/>
              <w:right w:type="dxa" w:w="120"/>
            </w:tcMar>
            <w:vAlign w:val="center"/>
          </w:tcPr>
          <w:p>
            <w:r>
              <w:rPr>
                <w:b/>
                <w:bCs/>
                <w:color w:val="FFFFFF"/>
                <w:sz w:val="19"/>
                <w:szCs w:val="19"/>
              </w:rPr>
              <w:t xml:space="preserve">Item</w:t>
            </w:r>
          </w:p>
        </w:tc>
        <w:tc>
          <w:tcPr>
            <w:tcW w:type="dxa" w:w="2900"/>
            <w:shd w:fill="1A1A1A" w:val="clear"/>
            <w:tcMar>
              <w:top w:type="dxa" w:w="100"/>
              <w:left w:type="dxa" w:w="120"/>
              <w:bottom w:type="dxa" w:w="100"/>
              <w:right w:type="dxa" w:w="120"/>
            </w:tcMar>
            <w:vAlign w:val="center"/>
          </w:tcPr>
          <w:p>
            <w:r>
              <w:rPr>
                <w:b/>
                <w:bCs/>
                <w:color w:val="FFFFFF"/>
                <w:sz w:val="19"/>
                <w:szCs w:val="19"/>
              </w:rPr>
              <w:t xml:space="preserve">Owner</w:t>
            </w:r>
          </w:p>
        </w:tc>
        <w:tc>
          <w:tcPr>
            <w:tcW w:type="dxa" w:w="2580"/>
            <w:shd w:fill="1A1A1A" w:val="clear"/>
            <w:tcMar>
              <w:top w:type="dxa" w:w="100"/>
              <w:left w:type="dxa" w:w="120"/>
              <w:bottom w:type="dxa" w:w="100"/>
              <w:right w:type="dxa" w:w="120"/>
            </w:tcMar>
            <w:vAlign w:val="center"/>
          </w:tcPr>
          <w:p>
            <w:r>
              <w:rPr>
                <w:b/>
                <w:bCs/>
                <w:color w:val="FFFFFF"/>
                <w:sz w:val="19"/>
                <w:szCs w:val="19"/>
              </w:rPr>
              <w:t xml:space="preserve">Status</w:t>
            </w:r>
          </w:p>
        </w:tc>
      </w:tr>
      <w:tr>
        <w:tc>
          <w:tcPr>
            <w:tcW w:type="dxa" w:w="3600"/>
            <w:tcMar>
              <w:top w:type="dxa" w:w="90"/>
              <w:left w:type="dxa" w:w="120"/>
              <w:bottom w:type="dxa" w:w="90"/>
              <w:right w:type="dxa" w:w="120"/>
            </w:tcMar>
            <w:vAlign w:val="center"/>
          </w:tcPr>
          <w:p>
            <w:r>
              <w:rPr>
                <w:b/>
                <w:bCs/>
                <w:i w:val="false"/>
                <w:iCs w:val="false"/>
                <w:color w:val="1A1A1A"/>
                <w:sz w:val="19"/>
                <w:szCs w:val="19"/>
              </w:rPr>
              <w:t xml:space="preserve">Database connection string</w:t>
            </w:r>
          </w:p>
        </w:tc>
        <w:tc>
          <w:tcPr>
            <w:tcW w:type="dxa" w:w="2900"/>
            <w:tcMar>
              <w:top w:type="dxa" w:w="90"/>
              <w:left w:type="dxa" w:w="120"/>
              <w:bottom w:type="dxa" w:w="90"/>
              <w:right w:type="dxa" w:w="120"/>
            </w:tcMar>
            <w:vAlign w:val="center"/>
          </w:tcPr>
          <w:p>
            <w:r>
              <w:rPr>
                <w:b w:val="false"/>
                <w:bCs w:val="false"/>
                <w:i w:val="false"/>
                <w:iCs w:val="false"/>
                <w:color w:val="1A1A1A"/>
                <w:sz w:val="19"/>
                <w:szCs w:val="19"/>
              </w:rPr>
              <w:t xml:space="preserve">Client / hosting provider</w:t>
            </w:r>
          </w:p>
        </w:tc>
        <w:tc>
          <w:tcPr>
            <w:tcW w:type="dxa" w:w="2580"/>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shd w:fill="F2F2F2" w:val="clear"/>
            <w:tcMar>
              <w:top w:type="dxa" w:w="90"/>
              <w:left w:type="dxa" w:w="120"/>
              <w:bottom w:type="dxa" w:w="90"/>
              <w:right w:type="dxa" w:w="120"/>
            </w:tcMar>
            <w:vAlign w:val="center"/>
          </w:tcPr>
          <w:p>
            <w:r>
              <w:rPr>
                <w:b/>
                <w:bCs/>
                <w:i w:val="false"/>
                <w:iCs w:val="false"/>
                <w:color w:val="1A1A1A"/>
                <w:sz w:val="19"/>
                <w:szCs w:val="19"/>
              </w:rPr>
              <w:t xml:space="preserve">Firebase service account + client config</w:t>
            </w:r>
          </w:p>
        </w:tc>
        <w:tc>
          <w:tcPr>
            <w:tcW w:type="dxa" w:w="290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Client (Firebase project)</w:t>
            </w:r>
          </w:p>
        </w:tc>
        <w:tc>
          <w:tcPr>
            <w:tcW w:type="dxa" w:w="258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tcMar>
              <w:top w:type="dxa" w:w="90"/>
              <w:left w:type="dxa" w:w="120"/>
              <w:bottom w:type="dxa" w:w="90"/>
              <w:right w:type="dxa" w:w="120"/>
            </w:tcMar>
            <w:vAlign w:val="center"/>
          </w:tcPr>
          <w:p>
            <w:r>
              <w:rPr>
                <w:b/>
                <w:bCs/>
                <w:i w:val="false"/>
                <w:iCs w:val="false"/>
                <w:color w:val="1A1A1A"/>
                <w:sz w:val="19"/>
                <w:szCs w:val="19"/>
              </w:rPr>
              <w:t xml:space="preserve">Razorpay live keys</w:t>
            </w:r>
          </w:p>
        </w:tc>
        <w:tc>
          <w:tcPr>
            <w:tcW w:type="dxa" w:w="2900"/>
            <w:tcMar>
              <w:top w:type="dxa" w:w="90"/>
              <w:left w:type="dxa" w:w="120"/>
              <w:bottom w:type="dxa" w:w="90"/>
              <w:right w:type="dxa" w:w="120"/>
            </w:tcMar>
            <w:vAlign w:val="center"/>
          </w:tcPr>
          <w:p>
            <w:r>
              <w:rPr>
                <w:b w:val="false"/>
                <w:bCs w:val="false"/>
                <w:i w:val="false"/>
                <w:iCs w:val="false"/>
                <w:color w:val="1A1A1A"/>
                <w:sz w:val="19"/>
                <w:szCs w:val="19"/>
              </w:rPr>
              <w:t xml:space="preserve">Client (Razorpay account)</w:t>
            </w:r>
          </w:p>
        </w:tc>
        <w:tc>
          <w:tcPr>
            <w:tcW w:type="dxa" w:w="2580"/>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shd w:fill="F2F2F2" w:val="clear"/>
            <w:tcMar>
              <w:top w:type="dxa" w:w="90"/>
              <w:left w:type="dxa" w:w="120"/>
              <w:bottom w:type="dxa" w:w="90"/>
              <w:right w:type="dxa" w:w="120"/>
            </w:tcMar>
            <w:vAlign w:val="center"/>
          </w:tcPr>
          <w:p>
            <w:r>
              <w:rPr>
                <w:b/>
                <w:bCs/>
                <w:i w:val="false"/>
                <w:iCs w:val="false"/>
                <w:color w:val="1A1A1A"/>
                <w:sz w:val="19"/>
                <w:szCs w:val="19"/>
              </w:rPr>
              <w:t xml:space="preserve">Surepass API token</w:t>
            </w:r>
          </w:p>
        </w:tc>
        <w:tc>
          <w:tcPr>
            <w:tcW w:type="dxa" w:w="290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Client (Surepass account)</w:t>
            </w:r>
          </w:p>
        </w:tc>
        <w:tc>
          <w:tcPr>
            <w:tcW w:type="dxa" w:w="258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tcMar>
              <w:top w:type="dxa" w:w="90"/>
              <w:left w:type="dxa" w:w="120"/>
              <w:bottom w:type="dxa" w:w="90"/>
              <w:right w:type="dxa" w:w="120"/>
            </w:tcMar>
            <w:vAlign w:val="center"/>
          </w:tcPr>
          <w:p>
            <w:r>
              <w:rPr>
                <w:b/>
                <w:bCs/>
                <w:i w:val="false"/>
                <w:iCs w:val="false"/>
                <w:color w:val="1A1A1A"/>
                <w:sz w:val="19"/>
                <w:szCs w:val="19"/>
              </w:rPr>
              <w:t xml:space="preserve">DigiLocker credentials</w:t>
            </w:r>
          </w:p>
        </w:tc>
        <w:tc>
          <w:tcPr>
            <w:tcW w:type="dxa" w:w="2900"/>
            <w:tcMar>
              <w:top w:type="dxa" w:w="90"/>
              <w:left w:type="dxa" w:w="120"/>
              <w:bottom w:type="dxa" w:w="90"/>
              <w:right w:type="dxa" w:w="120"/>
            </w:tcMar>
            <w:vAlign w:val="center"/>
          </w:tcPr>
          <w:p>
            <w:r>
              <w:rPr>
                <w:b w:val="false"/>
                <w:bCs w:val="false"/>
                <w:i w:val="false"/>
                <w:iCs w:val="false"/>
                <w:color w:val="1A1A1A"/>
                <w:sz w:val="19"/>
                <w:szCs w:val="19"/>
              </w:rPr>
              <w:t xml:space="preserve">Client (or confirm remove)</w:t>
            </w:r>
          </w:p>
        </w:tc>
        <w:tc>
          <w:tcPr>
            <w:tcW w:type="dxa" w:w="2580"/>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shd w:fill="F2F2F2" w:val="clear"/>
            <w:tcMar>
              <w:top w:type="dxa" w:w="90"/>
              <w:left w:type="dxa" w:w="120"/>
              <w:bottom w:type="dxa" w:w="90"/>
              <w:right w:type="dxa" w:w="120"/>
            </w:tcMar>
            <w:vAlign w:val="center"/>
          </w:tcPr>
          <w:p>
            <w:r>
              <w:rPr>
                <w:b/>
                <w:bCs/>
                <w:i w:val="false"/>
                <w:iCs w:val="false"/>
                <w:color w:val="1A1A1A"/>
                <w:sz w:val="19"/>
                <w:szCs w:val="19"/>
              </w:rPr>
              <w:t xml:space="preserve">SMTP / transactional email</w:t>
            </w:r>
          </w:p>
        </w:tc>
        <w:tc>
          <w:tcPr>
            <w:tcW w:type="dxa" w:w="290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Client</w:t>
            </w:r>
          </w:p>
        </w:tc>
        <w:tc>
          <w:tcPr>
            <w:tcW w:type="dxa" w:w="258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tcMar>
              <w:top w:type="dxa" w:w="90"/>
              <w:left w:type="dxa" w:w="120"/>
              <w:bottom w:type="dxa" w:w="90"/>
              <w:right w:type="dxa" w:w="120"/>
            </w:tcMar>
            <w:vAlign w:val="center"/>
          </w:tcPr>
          <w:p>
            <w:r>
              <w:rPr>
                <w:b/>
                <w:bCs/>
                <w:i w:val="false"/>
                <w:iCs w:val="false"/>
                <w:color w:val="1A1A1A"/>
                <w:sz w:val="19"/>
                <w:szCs w:val="19"/>
              </w:rPr>
              <w:t xml:space="preserve">Hosting decision (Option A vs B)</w:t>
            </w:r>
          </w:p>
        </w:tc>
        <w:tc>
          <w:tcPr>
            <w:tcW w:type="dxa" w:w="2900"/>
            <w:tcMar>
              <w:top w:type="dxa" w:w="90"/>
              <w:left w:type="dxa" w:w="120"/>
              <w:bottom w:type="dxa" w:w="90"/>
              <w:right w:type="dxa" w:w="120"/>
            </w:tcMar>
            <w:vAlign w:val="center"/>
          </w:tcPr>
          <w:p>
            <w:r>
              <w:rPr>
                <w:b w:val="false"/>
                <w:bCs w:val="false"/>
                <w:i w:val="false"/>
                <w:iCs w:val="false"/>
                <w:color w:val="1A1A1A"/>
                <w:sz w:val="19"/>
                <w:szCs w:val="19"/>
              </w:rPr>
              <w:t xml:space="preserve">Client decision</w:t>
            </w:r>
          </w:p>
        </w:tc>
        <w:tc>
          <w:tcPr>
            <w:tcW w:type="dxa" w:w="2580"/>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shd w:fill="F2F2F2" w:val="clear"/>
            <w:tcMar>
              <w:top w:type="dxa" w:w="90"/>
              <w:left w:type="dxa" w:w="120"/>
              <w:bottom w:type="dxa" w:w="90"/>
              <w:right w:type="dxa" w:w="120"/>
            </w:tcMar>
            <w:vAlign w:val="center"/>
          </w:tcPr>
          <w:p>
            <w:r>
              <w:rPr>
                <w:b/>
                <w:bCs/>
                <w:i w:val="false"/>
                <w:iCs w:val="false"/>
                <w:color w:val="1A1A1A"/>
                <w:sz w:val="19"/>
                <w:szCs w:val="19"/>
              </w:rPr>
              <w:t xml:space="preserve">GoDaddy DNS access</w:t>
            </w:r>
          </w:p>
        </w:tc>
        <w:tc>
          <w:tcPr>
            <w:tcW w:type="dxa" w:w="290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Client</w:t>
            </w:r>
          </w:p>
        </w:tc>
        <w:tc>
          <w:tcPr>
            <w:tcW w:type="dxa" w:w="258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tcMar>
              <w:top w:type="dxa" w:w="90"/>
              <w:left w:type="dxa" w:w="120"/>
              <w:bottom w:type="dxa" w:w="90"/>
              <w:right w:type="dxa" w:w="120"/>
            </w:tcMar>
            <w:vAlign w:val="center"/>
          </w:tcPr>
          <w:p>
            <w:r>
              <w:rPr>
                <w:b/>
                <w:bCs/>
                <w:i w:val="false"/>
                <w:iCs w:val="false"/>
                <w:color w:val="1A1A1A"/>
                <w:sz w:val="19"/>
                <w:szCs w:val="19"/>
              </w:rPr>
              <w:t xml:space="preserve">Google Play Console access</w:t>
            </w:r>
          </w:p>
        </w:tc>
        <w:tc>
          <w:tcPr>
            <w:tcW w:type="dxa" w:w="2900"/>
            <w:tcMar>
              <w:top w:type="dxa" w:w="90"/>
              <w:left w:type="dxa" w:w="120"/>
              <w:bottom w:type="dxa" w:w="90"/>
              <w:right w:type="dxa" w:w="120"/>
            </w:tcMar>
            <w:vAlign w:val="center"/>
          </w:tcPr>
          <w:p>
            <w:r>
              <w:rPr>
                <w:b w:val="false"/>
                <w:bCs w:val="false"/>
                <w:i w:val="false"/>
                <w:iCs w:val="false"/>
                <w:color w:val="1A1A1A"/>
                <w:sz w:val="19"/>
                <w:szCs w:val="19"/>
              </w:rPr>
              <w:t xml:space="preserve">Client</w:t>
            </w:r>
          </w:p>
        </w:tc>
        <w:tc>
          <w:tcPr>
            <w:tcW w:type="dxa" w:w="2580"/>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shd w:fill="F2F2F2" w:val="clear"/>
            <w:tcMar>
              <w:top w:type="dxa" w:w="90"/>
              <w:left w:type="dxa" w:w="120"/>
              <w:bottom w:type="dxa" w:w="90"/>
              <w:right w:type="dxa" w:w="120"/>
            </w:tcMar>
            <w:vAlign w:val="center"/>
          </w:tcPr>
          <w:p>
            <w:r>
              <w:rPr>
                <w:b/>
                <w:bCs/>
                <w:i w:val="false"/>
                <w:iCs w:val="false"/>
                <w:color w:val="1A1A1A"/>
                <w:sz w:val="19"/>
                <w:szCs w:val="19"/>
              </w:rPr>
              <w:t xml:space="preserve">Apple Developer account (if iOS)</w:t>
            </w:r>
          </w:p>
        </w:tc>
        <w:tc>
          <w:tcPr>
            <w:tcW w:type="dxa" w:w="290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Client</w:t>
            </w:r>
          </w:p>
        </w:tc>
        <w:tc>
          <w:tcPr>
            <w:tcW w:type="dxa" w:w="258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tcMar>
              <w:top w:type="dxa" w:w="90"/>
              <w:left w:type="dxa" w:w="120"/>
              <w:bottom w:type="dxa" w:w="90"/>
              <w:right w:type="dxa" w:w="120"/>
            </w:tcMar>
            <w:vAlign w:val="center"/>
          </w:tcPr>
          <w:p>
            <w:r>
              <w:rPr>
                <w:b/>
                <w:bCs/>
                <w:i w:val="false"/>
                <w:iCs w:val="false"/>
                <w:color w:val="1A1A1A"/>
                <w:sz w:val="19"/>
                <w:szCs w:val="19"/>
              </w:rPr>
              <w:t xml:space="preserve">Expo/EAS account access</w:t>
            </w:r>
          </w:p>
        </w:tc>
        <w:tc>
          <w:tcPr>
            <w:tcW w:type="dxa" w:w="2900"/>
            <w:tcMar>
              <w:top w:type="dxa" w:w="90"/>
              <w:left w:type="dxa" w:w="120"/>
              <w:bottom w:type="dxa" w:w="90"/>
              <w:right w:type="dxa" w:w="120"/>
            </w:tcMar>
            <w:vAlign w:val="center"/>
          </w:tcPr>
          <w:p>
            <w:r>
              <w:rPr>
                <w:b w:val="false"/>
                <w:bCs w:val="false"/>
                <w:i w:val="false"/>
                <w:iCs w:val="false"/>
                <w:color w:val="1A1A1A"/>
                <w:sz w:val="19"/>
                <w:szCs w:val="19"/>
              </w:rPr>
              <w:t xml:space="preserve">Client</w:t>
            </w:r>
          </w:p>
        </w:tc>
        <w:tc>
          <w:tcPr>
            <w:tcW w:type="dxa" w:w="2580"/>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r>
        <w:tc>
          <w:tcPr>
            <w:tcW w:type="dxa" w:w="3600"/>
            <w:shd w:fill="F2F2F2" w:val="clear"/>
            <w:tcMar>
              <w:top w:type="dxa" w:w="90"/>
              <w:left w:type="dxa" w:w="120"/>
              <w:bottom w:type="dxa" w:w="90"/>
              <w:right w:type="dxa" w:w="120"/>
            </w:tcMar>
            <w:vAlign w:val="center"/>
          </w:tcPr>
          <w:p>
            <w:r>
              <w:rPr>
                <w:b/>
                <w:bCs/>
                <w:i w:val="false"/>
                <w:iCs w:val="false"/>
                <w:color w:val="1A1A1A"/>
                <w:sz w:val="19"/>
                <w:szCs w:val="19"/>
              </w:rPr>
              <w:t xml:space="preserve">Rotate exposed secrets (Section 6)</w:t>
            </w:r>
          </w:p>
        </w:tc>
        <w:tc>
          <w:tcPr>
            <w:tcW w:type="dxa" w:w="290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Dev team, before go-live</w:t>
            </w:r>
          </w:p>
        </w:tc>
        <w:tc>
          <w:tcPr>
            <w:tcW w:type="dxa" w:w="2580"/>
            <w:shd w:fill="F2F2F2" w:val="clear"/>
            <w:tcMar>
              <w:top w:type="dxa" w:w="90"/>
              <w:left w:type="dxa" w:w="120"/>
              <w:bottom w:type="dxa" w:w="90"/>
              <w:right w:type="dxa" w:w="120"/>
            </w:tcMar>
            <w:vAlign w:val="center"/>
          </w:tcPr>
          <w:p>
            <w:r>
              <w:rPr>
                <w:b w:val="false"/>
                <w:bCs w:val="false"/>
                <w:i w:val="false"/>
                <w:iCs w:val="false"/>
                <w:color w:val="1A1A1A"/>
                <w:sz w:val="19"/>
                <w:szCs w:val="19"/>
              </w:rPr>
              <w:t xml:space="preserve">☐ Pending</w:t>
            </w:r>
          </w:p>
        </w:tc>
      </w:tr>
    </w:tbl>
    <w:sectPr>
      <w:headerReference w:type="default" r:id="rId7"/>
      <w:footerReference w:type="default" r:id="rId8"/>
      <w:pgSz w:w="12240" w:h="15840" w:orient="portrait"/>
      <w:pgMar w:top="1350" w:right="1080" w:bottom="1080" w:left="1080" w:header="4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595959"/>
        <w:sz w:val="15"/>
        <w:szCs w:val="15"/>
      </w:rPr>
      <w:t xml:space="preserve">Prepared by Indus Innovate for RealShare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left"/>
    </w:pPr>
    <w:r>
      <w:drawing>
        <wp:inline distT="0" distB="0" distL="0" distR="0">
          <wp:extent cx="14287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04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3c8186da17f0d35aeb3b22cebd9c414255e47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2026-09-03T05:30:01.785Z</dcterms:created>
  <dcterms:modified xsi:type="dcterms:W3CDTF">2026-09-03T05:30:01.785Z</dcterms:modified>
</cp:coreProperties>
</file>

<file path=docProps/custom.xml><?xml version="1.0" encoding="utf-8"?>
<Properties xmlns="http://schemas.openxmlformats.org/officeDocument/2006/custom-properties" xmlns:vt="http://schemas.openxmlformats.org/officeDocument/2006/docPropsVTypes"/>
</file>