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Lista de Exercícios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Ascencio, A.F.G; Campos, E.A.V. Fundamentos da Programação de Computadores. Pearson.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159" w:dyaOrig="12349">
          <v:rect xmlns:o="urn:schemas-microsoft-com:office:office" xmlns:v="urn:schemas-microsoft-com:vml" id="rectole0000000000" style="width:457.950000pt;height:617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950" w:dyaOrig="13350">
          <v:rect xmlns:o="urn:schemas-microsoft-com:office:office" xmlns:v="urn:schemas-microsoft-com:vml" id="rectole0000000001" style="width:497.500000pt;height:667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632" w:dyaOrig="15595">
          <v:rect xmlns:o="urn:schemas-microsoft-com:office:office" xmlns:v="urn:schemas-microsoft-com:vml" id="rectole0000000002" style="width:631.600000pt;height:779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923" w:dyaOrig="17193">
          <v:rect xmlns:o="urn:schemas-microsoft-com:office:office" xmlns:v="urn:schemas-microsoft-com:vml" id="rectole0000000003" style="width:646.150000pt;height:859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065" w:dyaOrig="7646">
          <v:rect xmlns:o="urn:schemas-microsoft-com:office:office" xmlns:v="urn:schemas-microsoft-com:vml" id="rectole0000000004" style="width:603.250000pt;height:382.3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