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 w:lineRule="auto"/>
        <w:jc w:val="left"/>
        <w:rPr/>
      </w:pPr>
      <w:r w:rsidDel="00000000" w:rsidR="00000000" w:rsidRPr="00000000">
        <w:rPr>
          <w:rtl w:val="0"/>
        </w:rPr>
        <w:t xml:space="preserve">Post-pilot calibration</w:t>
      </w:r>
    </w:p>
    <w:p w:rsidR="00000000" w:rsidDel="00000000" w:rsidP="00000000" w:rsidRDefault="00000000" w:rsidRPr="00000000" w14:paraId="00000002">
      <w:pPr>
        <w:pStyle w:val="Heading1"/>
        <w:rPr/>
      </w:pPr>
      <w:r w:rsidDel="00000000" w:rsidR="00000000" w:rsidRPr="00000000">
        <w:rPr>
          <w:rtl w:val="0"/>
        </w:rPr>
        <w:t xml:space="preserve">Three points to carry forward</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dataset does not automatically establish a Research Domain. Use the title and dataset field together, but ask what the project is substantively about.</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 </w:t>
      </w:r>
      <w:r w:rsidDel="00000000" w:rsidR="00000000" w:rsidRPr="00000000">
        <w:rPr>
          <w:i w:val="1"/>
          <w:iCs w:val="1"/>
          <w:smallCaps w:val="0"/>
          <w:strike w:val="0"/>
          <w:color w:val="000000"/>
          <w:sz w:val="21"/>
          <w:szCs w:val="21"/>
          <w:u w:val="none"/>
          <w:shd w:fill="auto" w:val="clear"/>
          <w:vertAlign w:val="baseline"/>
          <w:rtl w:val="0"/>
        </w:rPr>
        <w:t xml:space="preserve">additional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Domain or Purpose needs independent substantive support. Multi-label coding remains appropriate where </w:t>
      </w:r>
      <w:r w:rsidDel="00000000" w:rsidR="00000000" w:rsidRPr="00000000">
        <w:rPr>
          <w:i w:val="1"/>
          <w:iCs w:val="1"/>
          <w:smallCaps w:val="0"/>
          <w:strike w:val="0"/>
          <w:color w:val="000000"/>
          <w:sz w:val="21"/>
          <w:szCs w:val="21"/>
          <w:u w:val="none"/>
          <w:shd w:fill="auto" w:val="clear"/>
          <w:vertAlign w:val="baseline"/>
          <w:rtl w:val="0"/>
        </w:rPr>
        <w:t xml:space="preserve">more than one object or operation is genuinely central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Prefer the most specific visible analytical operation. Do not add Descriptive Monitoring automatically when the title clearly indicates a trajectory, evaluation, outcome relationship, prediction, service pathway, or methodological operation.</w:t>
      </w:r>
    </w:p>
    <w:p w:rsidR="00000000" w:rsidDel="00000000" w:rsidP="00000000" w:rsidRDefault="00000000" w:rsidRPr="00000000" w14:paraId="00000006">
      <w:pPr>
        <w:pStyle w:val="Heading1"/>
        <w:keepNext w:val="1"/>
        <w:spacing w:after="60" w:before="120" w:lineRule="auto"/>
        <w:rPr/>
      </w:pPr>
      <w:r w:rsidDel="00000000" w:rsidR="00000000" w:rsidRPr="00000000">
        <w:rPr>
          <w:rtl w:val="0"/>
        </w:rPr>
        <w:t xml:space="preserve">Example 1: 2019/015</w:t>
      </w:r>
    </w:p>
    <w:p w:rsidR="00000000" w:rsidDel="00000000" w:rsidP="00000000" w:rsidRDefault="00000000" w:rsidRPr="00000000" w14:paraId="00000007">
      <w:pPr>
        <w:keepNext w:val="1"/>
        <w:spacing w:after="60" w:lineRule="auto"/>
        <w:rPr/>
      </w:pPr>
      <w:r w:rsidDel="00000000" w:rsidR="00000000" w:rsidRPr="00000000">
        <w:rPr>
          <w:b w:val="1"/>
          <w:bCs w:val="1"/>
          <w:rtl w:val="0"/>
        </w:rPr>
        <w:t xml:space="preserve">Project title: </w:t>
      </w:r>
      <w:r w:rsidDel="00000000" w:rsidR="00000000" w:rsidRPr="00000000">
        <w:rPr>
          <w:rtl w:val="0"/>
        </w:rPr>
        <w:t xml:space="preserve">Understanding saving behaviour in the UK</w:t>
      </w:r>
    </w:p>
    <w:p w:rsidR="00000000" w:rsidDel="00000000" w:rsidP="00000000" w:rsidRDefault="00000000" w:rsidRPr="00000000" w14:paraId="00000008">
      <w:pPr>
        <w:keepNext w:val="1"/>
        <w:spacing w:after="60" w:lineRule="auto"/>
        <w:rPr/>
      </w:pPr>
      <w:r w:rsidDel="00000000" w:rsidR="00000000" w:rsidRPr="00000000">
        <w:rPr>
          <w:b w:val="1"/>
          <w:bCs w:val="1"/>
          <w:rtl w:val="0"/>
        </w:rPr>
        <w:t xml:space="preserve">Datasets used: </w:t>
      </w:r>
      <w:r w:rsidDel="00000000" w:rsidR="00000000" w:rsidRPr="00000000">
        <w:rPr>
          <w:rtl w:val="0"/>
        </w:rPr>
        <w:t xml:space="preserve">Office for National Statistics: Wealth and Assets Survey &amp; Annual Survey of Hours and Earnings</w:t>
      </w:r>
    </w:p>
    <w:p w:rsidR="00000000" w:rsidDel="00000000" w:rsidP="00000000" w:rsidRDefault="00000000" w:rsidRPr="00000000" w14:paraId="00000009">
      <w:pPr>
        <w:pStyle w:val="Heading2"/>
        <w:keepNext w:val="1"/>
        <w:spacing w:after="40" w:before="60" w:lineRule="auto"/>
        <w:rPr/>
      </w:pPr>
      <w:r w:rsidDel="00000000" w:rsidR="00000000" w:rsidRPr="00000000">
        <w:rPr>
          <w:rtl w:val="0"/>
        </w:rPr>
        <w:t xml:space="preserve">Research Domain(s)</w:t>
      </w:r>
    </w:p>
    <w:p w:rsidR="00000000" w:rsidDel="00000000" w:rsidP="00000000" w:rsidRDefault="00000000" w:rsidRPr="00000000" w14:paraId="0000000A">
      <w:pPr>
        <w:keepNext w:val="1"/>
        <w:spacing w:after="60" w:lineRule="auto"/>
        <w:rPr/>
      </w:pPr>
      <w:r w:rsidDel="00000000" w:rsidR="00000000" w:rsidRPr="00000000">
        <w:rPr>
          <w:b w:val="1"/>
          <w:bCs w:val="1"/>
          <w:rtl w:val="0"/>
        </w:rPr>
        <w:t xml:space="preserve">Best-supported classification: </w:t>
      </w:r>
      <w:r w:rsidDel="00000000" w:rsidR="00000000" w:rsidRPr="00000000">
        <w:rPr>
          <w:rtl w:val="0"/>
        </w:rPr>
        <w:t xml:space="preserve">Poverty, Wealth &amp; Living Standards</w:t>
      </w:r>
    </w:p>
    <w:p w:rsidR="00000000" w:rsidDel="00000000" w:rsidP="00000000" w:rsidRDefault="00000000" w:rsidRPr="00000000" w14:paraId="0000000B">
      <w:pPr>
        <w:keepNext w:val="1"/>
        <w:spacing w:after="60" w:lineRule="auto"/>
        <w:rPr/>
      </w:pPr>
      <w:r w:rsidDel="00000000" w:rsidR="00000000" w:rsidRPr="00000000">
        <w:rPr>
          <w:b w:val="1"/>
          <w:bCs w:val="1"/>
          <w:rtl w:val="0"/>
        </w:rPr>
        <w:t xml:space="preserve">Why: </w:t>
      </w:r>
      <w:r w:rsidDel="00000000" w:rsidR="00000000" w:rsidRPr="00000000">
        <w:rPr>
          <w:rtl w:val="0"/>
        </w:rPr>
        <w:t xml:space="preserve">The research object is saving behaviour and household financial resources. ASHE may provide contextual variables, but its presence does not make employment or earnings the substantive object.</w:t>
      </w:r>
    </w:p>
    <w:p w:rsidR="00000000" w:rsidDel="00000000" w:rsidP="00000000" w:rsidRDefault="00000000" w:rsidRPr="00000000" w14:paraId="0000000C">
      <w:pPr>
        <w:pStyle w:val="Heading2"/>
        <w:keepNext w:val="1"/>
        <w:spacing w:after="40" w:before="60" w:lineRule="auto"/>
        <w:rPr/>
      </w:pPr>
      <w:r w:rsidDel="00000000" w:rsidR="00000000" w:rsidRPr="00000000">
        <w:rPr>
          <w:rtl w:val="0"/>
        </w:rPr>
        <w:t xml:space="preserve">Analytical Purpose(s)</w:t>
      </w:r>
    </w:p>
    <w:p w:rsidR="00000000" w:rsidDel="00000000" w:rsidP="00000000" w:rsidRDefault="00000000" w:rsidRPr="00000000" w14:paraId="0000000D">
      <w:pPr>
        <w:keepNext w:val="1"/>
        <w:spacing w:after="60" w:lineRule="auto"/>
        <w:rPr/>
      </w:pPr>
      <w:r w:rsidDel="00000000" w:rsidR="00000000" w:rsidRPr="00000000">
        <w:rPr>
          <w:b w:val="1"/>
          <w:bCs w:val="1"/>
          <w:rtl w:val="0"/>
        </w:rPr>
        <w:t xml:space="preserve">Best-supported classification: </w:t>
      </w:r>
      <w:r w:rsidDel="00000000" w:rsidR="00000000" w:rsidRPr="00000000">
        <w:rPr>
          <w:rtl w:val="0"/>
        </w:rPr>
        <w:t xml:space="preserve">Descriptive Monitoring</w:t>
      </w:r>
    </w:p>
    <w:p w:rsidR="00000000" w:rsidDel="00000000" w:rsidP="00000000" w:rsidRDefault="00000000" w:rsidRPr="00000000" w14:paraId="0000000E">
      <w:pPr>
        <w:keepNext w:val="1"/>
        <w:spacing w:after="60" w:lineRule="auto"/>
        <w:rPr/>
      </w:pPr>
      <w:r w:rsidDel="00000000" w:rsidR="00000000" w:rsidRPr="00000000">
        <w:rPr>
          <w:b w:val="1"/>
          <w:bCs w:val="1"/>
          <w:rtl w:val="0"/>
        </w:rPr>
        <w:t xml:space="preserve">Why: </w:t>
      </w:r>
      <w:r w:rsidDel="00000000" w:rsidR="00000000" w:rsidRPr="00000000">
        <w:rPr>
          <w:rtl w:val="0"/>
        </w:rPr>
        <w:t xml:space="preserve">The title supports understanding or characterising patterns of saving. It does not identify a named intervention, exposure-outcome relationship, trajectory, service pathway or prediction task.</w:t>
      </w:r>
    </w:p>
    <w:p w:rsidR="00000000" w:rsidDel="00000000" w:rsidP="00000000" w:rsidRDefault="00000000" w:rsidRPr="00000000" w14:paraId="0000000F">
      <w:pPr>
        <w:spacing w:after="120" w:lineRule="auto"/>
        <w:rPr/>
      </w:pPr>
      <w:r w:rsidDel="00000000" w:rsidR="00000000" w:rsidRPr="00000000">
        <w:rPr>
          <w:b w:val="1"/>
          <w:bCs w:val="1"/>
          <w:rtl w:val="0"/>
        </w:rPr>
        <w:t xml:space="preserve">Rule to carry forward: </w:t>
      </w:r>
      <w:r w:rsidDel="00000000" w:rsidR="00000000" w:rsidRPr="00000000">
        <w:rPr>
          <w:rtl w:val="0"/>
        </w:rPr>
        <w:t xml:space="preserve">Do not assign a Domain solely because a dataset associated with that Domain appears in the entry. Saving behaviour may indirectly involve Employment, but do not assign Labour Market &amp; Employment unless the project is substantively about that Domain.</w:t>
      </w:r>
    </w:p>
    <w:p w:rsidR="00000000" w:rsidDel="00000000" w:rsidP="00000000" w:rsidRDefault="00000000" w:rsidRPr="00000000" w14:paraId="00000010">
      <w:pPr>
        <w:pStyle w:val="Heading1"/>
        <w:keepNext w:val="1"/>
        <w:spacing w:after="60" w:before="120" w:lineRule="auto"/>
        <w:rPr/>
      </w:pPr>
      <w:r w:rsidDel="00000000" w:rsidR="00000000" w:rsidRPr="00000000">
        <w:rPr>
          <w:rtl w:val="0"/>
        </w:rPr>
        <w:t xml:space="preserve">Example 2: 2021/038</w:t>
      </w:r>
    </w:p>
    <w:p w:rsidR="00000000" w:rsidDel="00000000" w:rsidP="00000000" w:rsidRDefault="00000000" w:rsidRPr="00000000" w14:paraId="00000011">
      <w:pPr>
        <w:keepNext w:val="1"/>
        <w:spacing w:after="60" w:lineRule="auto"/>
        <w:rPr/>
      </w:pPr>
      <w:r w:rsidDel="00000000" w:rsidR="00000000" w:rsidRPr="00000000">
        <w:rPr>
          <w:b w:val="1"/>
          <w:bCs w:val="1"/>
          <w:rtl w:val="0"/>
        </w:rPr>
        <w:t xml:space="preserve">Project title: </w:t>
      </w:r>
      <w:r w:rsidDel="00000000" w:rsidR="00000000" w:rsidRPr="00000000">
        <w:rPr>
          <w:rtl w:val="0"/>
        </w:rPr>
        <w:t xml:space="preserve">Using linked Magistrates and Crown Court data to explore defendant appearance over time: specialisation, escalation or de-escalation?</w:t>
      </w:r>
    </w:p>
    <w:p w:rsidR="00000000" w:rsidDel="00000000" w:rsidP="00000000" w:rsidRDefault="00000000" w:rsidRPr="00000000" w14:paraId="00000012">
      <w:pPr>
        <w:keepNext w:val="1"/>
        <w:spacing w:after="60" w:lineRule="auto"/>
        <w:rPr/>
      </w:pPr>
      <w:r w:rsidDel="00000000" w:rsidR="00000000" w:rsidRPr="00000000">
        <w:rPr>
          <w:b w:val="1"/>
          <w:bCs w:val="1"/>
          <w:rtl w:val="0"/>
        </w:rPr>
        <w:t xml:space="preserve">Datasets used: </w:t>
      </w:r>
      <w:r w:rsidDel="00000000" w:rsidR="00000000" w:rsidRPr="00000000">
        <w:rPr>
          <w:rtl w:val="0"/>
        </w:rPr>
        <w:t xml:space="preserve">Ministry of Justice: MoJ Data First Crown court defendant case level dataset; MoJ Data First Linked Criminal Courts defendant case level dataset; MoJ Data First magistrates' court defendant case level dataset</w:t>
      </w:r>
    </w:p>
    <w:p w:rsidR="00000000" w:rsidDel="00000000" w:rsidP="00000000" w:rsidRDefault="00000000" w:rsidRPr="00000000" w14:paraId="00000013">
      <w:pPr>
        <w:pStyle w:val="Heading2"/>
        <w:keepNext w:val="1"/>
        <w:spacing w:after="40" w:before="60" w:lineRule="auto"/>
        <w:rPr/>
      </w:pPr>
      <w:r w:rsidDel="00000000" w:rsidR="00000000" w:rsidRPr="00000000">
        <w:rPr>
          <w:rtl w:val="0"/>
        </w:rPr>
        <w:t xml:space="preserve">Research Domain(s)</w:t>
      </w:r>
    </w:p>
    <w:p w:rsidR="00000000" w:rsidDel="00000000" w:rsidP="00000000" w:rsidRDefault="00000000" w:rsidRPr="00000000" w14:paraId="00000014">
      <w:pPr>
        <w:keepNext w:val="1"/>
        <w:spacing w:after="60" w:lineRule="auto"/>
        <w:rPr/>
      </w:pPr>
      <w:r w:rsidDel="00000000" w:rsidR="00000000" w:rsidRPr="00000000">
        <w:rPr>
          <w:b w:val="1"/>
          <w:bCs w:val="1"/>
          <w:rtl w:val="0"/>
        </w:rPr>
        <w:t xml:space="preserve">Best-supported classification: </w:t>
      </w:r>
      <w:r w:rsidDel="00000000" w:rsidR="00000000" w:rsidRPr="00000000">
        <w:rPr>
          <w:rtl w:val="0"/>
        </w:rPr>
        <w:t xml:space="preserve">Crime &amp; Justice</w:t>
      </w:r>
    </w:p>
    <w:p w:rsidR="00000000" w:rsidDel="00000000" w:rsidP="00000000" w:rsidRDefault="00000000" w:rsidRPr="00000000" w14:paraId="00000015">
      <w:pPr>
        <w:keepNext w:val="1"/>
        <w:spacing w:after="60" w:lineRule="auto"/>
        <w:rPr/>
      </w:pPr>
      <w:r w:rsidDel="00000000" w:rsidR="00000000" w:rsidRPr="00000000">
        <w:rPr>
          <w:b w:val="1"/>
          <w:bCs w:val="1"/>
          <w:rtl w:val="0"/>
        </w:rPr>
        <w:t xml:space="preserve">Why: </w:t>
      </w:r>
      <w:r w:rsidDel="00000000" w:rsidR="00000000" w:rsidRPr="00000000">
        <w:rPr>
          <w:rtl w:val="0"/>
        </w:rPr>
        <w:t xml:space="preserve">Defendants, Magistrates' Courts and Crown Courts are all explicitly central to the research question.</w:t>
      </w:r>
    </w:p>
    <w:p w:rsidR="00000000" w:rsidDel="00000000" w:rsidP="00000000" w:rsidRDefault="00000000" w:rsidRPr="00000000" w14:paraId="00000016">
      <w:pPr>
        <w:pStyle w:val="Heading2"/>
        <w:keepNext w:val="1"/>
        <w:spacing w:after="40" w:before="60" w:lineRule="auto"/>
        <w:rPr/>
      </w:pPr>
      <w:r w:rsidDel="00000000" w:rsidR="00000000" w:rsidRPr="00000000">
        <w:rPr>
          <w:rtl w:val="0"/>
        </w:rPr>
        <w:t xml:space="preserve">Analytical Purpose(s)</w:t>
      </w:r>
    </w:p>
    <w:p w:rsidR="00000000" w:rsidDel="00000000" w:rsidP="00000000" w:rsidRDefault="00000000" w:rsidRPr="00000000" w14:paraId="00000017">
      <w:pPr>
        <w:keepNext w:val="1"/>
        <w:spacing w:after="60" w:lineRule="auto"/>
        <w:rPr>
          <w:i w:val="1"/>
          <w:iCs w:val="1"/>
        </w:rPr>
      </w:pPr>
      <w:r w:rsidDel="00000000" w:rsidR="00000000" w:rsidRPr="00000000">
        <w:rPr>
          <w:b w:val="1"/>
          <w:bCs w:val="1"/>
          <w:rtl w:val="0"/>
        </w:rPr>
        <w:t xml:space="preserve">Best-supported classification: </w:t>
      </w:r>
      <w:r w:rsidDel="00000000" w:rsidR="00000000" w:rsidRPr="00000000">
        <w:rPr>
          <w:rtl w:val="0"/>
        </w:rPr>
        <w:t xml:space="preserve">Life-Course / Trajectory Analysis; (</w:t>
      </w:r>
      <w:r w:rsidDel="00000000" w:rsidR="00000000" w:rsidRPr="00000000">
        <w:rPr>
          <w:i w:val="1"/>
          <w:iCs w:val="1"/>
          <w:rtl w:val="0"/>
        </w:rPr>
        <w:t xml:space="preserve">Defensible: Service Interaction / Systems Analysis)</w:t>
      </w:r>
    </w:p>
    <w:p w:rsidR="00000000" w:rsidDel="00000000" w:rsidP="00000000" w:rsidRDefault="00000000" w:rsidRPr="00000000" w14:paraId="00000018">
      <w:pPr>
        <w:keepNext w:val="1"/>
        <w:spacing w:after="60" w:lineRule="auto"/>
        <w:rPr/>
      </w:pPr>
      <w:r w:rsidDel="00000000" w:rsidR="00000000" w:rsidRPr="00000000">
        <w:rPr>
          <w:b w:val="1"/>
          <w:bCs w:val="1"/>
          <w:rtl w:val="0"/>
        </w:rPr>
        <w:t xml:space="preserve">Why: </w:t>
      </w:r>
      <w:r w:rsidDel="00000000" w:rsidR="00000000" w:rsidRPr="00000000">
        <w:rPr>
          <w:rtl w:val="0"/>
        </w:rPr>
        <w:t xml:space="preserve">The title identifies change in defendant histories over time and their movement through court systems (hence why Service Interaction  Systems Analysis is defensible). Although the project will describe patterns, this does not create a separate Descriptive Monitoring purpose.</w:t>
      </w:r>
    </w:p>
    <w:p w:rsidR="00000000" w:rsidDel="00000000" w:rsidP="00000000" w:rsidRDefault="00000000" w:rsidRPr="00000000" w14:paraId="00000019">
      <w:pPr>
        <w:spacing w:after="120" w:lineRule="auto"/>
        <w:rPr/>
      </w:pPr>
      <w:r w:rsidDel="00000000" w:rsidR="00000000" w:rsidRPr="00000000">
        <w:rPr>
          <w:b w:val="1"/>
          <w:bCs w:val="1"/>
          <w:rtl w:val="0"/>
        </w:rPr>
        <w:t xml:space="preserve">Rule to carry forward: </w:t>
      </w:r>
      <w:r w:rsidDel="00000000" w:rsidR="00000000" w:rsidRPr="00000000">
        <w:rPr>
          <w:rtl w:val="0"/>
        </w:rPr>
        <w:t xml:space="preserve">Do not add Descriptive Monitoring merely because description forms part of a more specific analytical operation.</w:t>
      </w:r>
    </w:p>
    <w:p w:rsidR="00000000" w:rsidDel="00000000" w:rsidP="00000000" w:rsidRDefault="00000000" w:rsidRPr="00000000" w14:paraId="0000001A">
      <w:pPr>
        <w:pStyle w:val="Heading1"/>
        <w:keepNext w:val="1"/>
        <w:spacing w:after="60" w:before="120" w:lineRule="auto"/>
        <w:rPr/>
      </w:pPr>
      <w:r w:rsidDel="00000000" w:rsidR="00000000" w:rsidRPr="00000000">
        <w:rPr>
          <w:rtl w:val="0"/>
        </w:rPr>
        <w:t xml:space="preserve">Example 3: 2021/056</w:t>
      </w:r>
    </w:p>
    <w:p w:rsidR="00000000" w:rsidDel="00000000" w:rsidP="00000000" w:rsidRDefault="00000000" w:rsidRPr="00000000" w14:paraId="0000001B">
      <w:pPr>
        <w:keepNext w:val="1"/>
        <w:spacing w:after="60" w:lineRule="auto"/>
        <w:rPr/>
      </w:pPr>
      <w:r w:rsidDel="00000000" w:rsidR="00000000" w:rsidRPr="00000000">
        <w:rPr>
          <w:b w:val="1"/>
          <w:bCs w:val="1"/>
          <w:rtl w:val="0"/>
        </w:rPr>
        <w:t xml:space="preserve">Project title: </w:t>
      </w:r>
      <w:r w:rsidDel="00000000" w:rsidR="00000000" w:rsidRPr="00000000">
        <w:rPr>
          <w:rtl w:val="0"/>
        </w:rPr>
        <w:t xml:space="preserve">Evaluating the impact of the Cycling Demonstration Towns and Cycling Cities and Towns using the Office for National Statistics Longitudinal Study</w:t>
      </w:r>
    </w:p>
    <w:p w:rsidR="00000000" w:rsidDel="00000000" w:rsidP="00000000" w:rsidRDefault="00000000" w:rsidRPr="00000000" w14:paraId="0000001C">
      <w:pPr>
        <w:keepNext w:val="1"/>
        <w:spacing w:after="60" w:lineRule="auto"/>
        <w:rPr/>
      </w:pPr>
      <w:r w:rsidDel="00000000" w:rsidR="00000000" w:rsidRPr="00000000">
        <w:rPr>
          <w:b w:val="1"/>
          <w:bCs w:val="1"/>
          <w:rtl w:val="0"/>
        </w:rPr>
        <w:t xml:space="preserve">Datasets used: </w:t>
      </w:r>
      <w:r w:rsidDel="00000000" w:rsidR="00000000" w:rsidRPr="00000000">
        <w:rPr>
          <w:rtl w:val="0"/>
        </w:rPr>
        <w:t xml:space="preserve">Office for National Statistics: Longitudinal Study of England and Wales</w:t>
      </w:r>
    </w:p>
    <w:p w:rsidR="00000000" w:rsidDel="00000000" w:rsidP="00000000" w:rsidRDefault="00000000" w:rsidRPr="00000000" w14:paraId="0000001D">
      <w:pPr>
        <w:pStyle w:val="Heading2"/>
        <w:keepNext w:val="1"/>
        <w:spacing w:after="40" w:before="60" w:lineRule="auto"/>
        <w:rPr/>
      </w:pPr>
      <w:r w:rsidDel="00000000" w:rsidR="00000000" w:rsidRPr="00000000">
        <w:rPr>
          <w:rtl w:val="0"/>
        </w:rPr>
        <w:t xml:space="preserve">Research Domain(s)</w:t>
      </w:r>
    </w:p>
    <w:p w:rsidR="00000000" w:rsidDel="00000000" w:rsidP="00000000" w:rsidRDefault="00000000" w:rsidRPr="00000000" w14:paraId="0000001E">
      <w:pPr>
        <w:keepNext w:val="1"/>
        <w:spacing w:after="60" w:lineRule="auto"/>
        <w:rPr/>
      </w:pPr>
      <w:r w:rsidDel="00000000" w:rsidR="00000000" w:rsidRPr="00000000">
        <w:rPr>
          <w:b w:val="1"/>
          <w:bCs w:val="1"/>
          <w:rtl w:val="0"/>
        </w:rPr>
        <w:t xml:space="preserve">Best-supported classification: </w:t>
      </w:r>
      <w:r w:rsidDel="00000000" w:rsidR="00000000" w:rsidRPr="00000000">
        <w:rPr>
          <w:rtl w:val="0"/>
        </w:rPr>
        <w:t xml:space="preserve">Unclear from Register Entry</w:t>
      </w:r>
    </w:p>
    <w:p w:rsidR="00000000" w:rsidDel="00000000" w:rsidP="00000000" w:rsidRDefault="00000000" w:rsidRPr="00000000" w14:paraId="0000001F">
      <w:pPr>
        <w:keepNext w:val="1"/>
        <w:spacing w:after="60" w:lineRule="auto"/>
        <w:rPr/>
      </w:pPr>
      <w:r w:rsidDel="00000000" w:rsidR="00000000" w:rsidRPr="00000000">
        <w:rPr>
          <w:b w:val="1"/>
          <w:bCs w:val="1"/>
          <w:rtl w:val="0"/>
        </w:rPr>
        <w:t xml:space="preserve">Why: </w:t>
      </w:r>
      <w:r w:rsidDel="00000000" w:rsidR="00000000" w:rsidRPr="00000000">
        <w:rPr>
          <w:rtl w:val="0"/>
        </w:rPr>
        <w:t xml:space="preserve">The intervention is named, but the outcome being evaluated is not. Health, transport behaviour and environmental outcomes are all plausible, but selecting among them would require outside inference. Towns, cities or cycling do not by themselves establish Housing &amp; Planning; </w:t>
      </w:r>
      <w:r w:rsidDel="00000000" w:rsidR="00000000" w:rsidRPr="00000000">
        <w:rPr>
          <w:i w:val="1"/>
          <w:iCs w:val="1"/>
          <w:rtl w:val="0"/>
        </w:rPr>
        <w:t xml:space="preserve">residential mobility means movement between homes or residential locations</w:t>
      </w:r>
      <w:r w:rsidDel="00000000" w:rsidR="00000000" w:rsidRPr="00000000">
        <w:rPr>
          <w:rtl w:val="0"/>
        </w:rPr>
        <w:t xml:space="preserve">, not transport mobility.</w:t>
      </w:r>
    </w:p>
    <w:p w:rsidR="00000000" w:rsidDel="00000000" w:rsidP="00000000" w:rsidRDefault="00000000" w:rsidRPr="00000000" w14:paraId="00000020">
      <w:pPr>
        <w:pStyle w:val="Heading2"/>
        <w:keepNext w:val="1"/>
        <w:spacing w:after="40" w:before="60" w:lineRule="auto"/>
        <w:rPr/>
      </w:pPr>
      <w:r w:rsidDel="00000000" w:rsidR="00000000" w:rsidRPr="00000000">
        <w:rPr>
          <w:rtl w:val="0"/>
        </w:rPr>
        <w:t xml:space="preserve">Analytical Purpose(s)</w:t>
      </w:r>
    </w:p>
    <w:p w:rsidR="00000000" w:rsidDel="00000000" w:rsidP="00000000" w:rsidRDefault="00000000" w:rsidRPr="00000000" w14:paraId="00000021">
      <w:pPr>
        <w:keepNext w:val="1"/>
        <w:spacing w:after="60" w:lineRule="auto"/>
        <w:rPr/>
      </w:pPr>
      <w:r w:rsidDel="00000000" w:rsidR="00000000" w:rsidRPr="00000000">
        <w:rPr>
          <w:b w:val="1"/>
          <w:bCs w:val="1"/>
          <w:rtl w:val="0"/>
        </w:rPr>
        <w:t xml:space="preserve">Best-supported classification: </w:t>
      </w:r>
      <w:r w:rsidDel="00000000" w:rsidR="00000000" w:rsidRPr="00000000">
        <w:rPr>
          <w:rtl w:val="0"/>
        </w:rPr>
        <w:t xml:space="preserve">Policy Evaluation / Impact Analysis</w:t>
      </w:r>
    </w:p>
    <w:p w:rsidR="00000000" w:rsidDel="00000000" w:rsidP="00000000" w:rsidRDefault="00000000" w:rsidRPr="00000000" w14:paraId="00000022">
      <w:pPr>
        <w:keepNext w:val="1"/>
        <w:spacing w:after="60" w:lineRule="auto"/>
        <w:rPr/>
      </w:pPr>
      <w:r w:rsidDel="00000000" w:rsidR="00000000" w:rsidRPr="00000000">
        <w:rPr>
          <w:b w:val="1"/>
          <w:bCs w:val="1"/>
          <w:rtl w:val="0"/>
        </w:rPr>
        <w:t xml:space="preserve">Why: </w:t>
      </w:r>
      <w:r w:rsidDel="00000000" w:rsidR="00000000" w:rsidRPr="00000000">
        <w:rPr>
          <w:rtl w:val="0"/>
        </w:rPr>
        <w:t xml:space="preserve">The phrase 'evaluating the impact' of named programmes directly establishes Policy Evaluation / Impact Analysis.</w:t>
      </w:r>
    </w:p>
    <w:p w:rsidR="00000000" w:rsidDel="00000000" w:rsidP="00000000" w:rsidRDefault="00000000" w:rsidRPr="00000000" w14:paraId="00000023">
      <w:pPr>
        <w:keepNext w:val="1"/>
        <w:spacing w:after="60" w:lineRule="auto"/>
        <w:rPr/>
      </w:pPr>
      <w:r w:rsidDel="00000000" w:rsidR="00000000" w:rsidRPr="00000000">
        <w:rPr>
          <w:b w:val="1"/>
          <w:bCs w:val="1"/>
          <w:rtl w:val="0"/>
        </w:rPr>
        <w:t xml:space="preserve">Register sufficiency: </w:t>
      </w:r>
      <w:r w:rsidDel="00000000" w:rsidR="00000000" w:rsidRPr="00000000">
        <w:rPr>
          <w:rtl w:val="0"/>
        </w:rPr>
        <w:t xml:space="preserve">Partial</w:t>
      </w:r>
    </w:p>
    <w:p w:rsidR="00000000" w:rsidDel="00000000" w:rsidP="00000000" w:rsidRDefault="00000000" w:rsidRPr="00000000" w14:paraId="00000024">
      <w:pPr>
        <w:spacing w:after="120" w:lineRule="auto"/>
        <w:rPr>
          <w:i w:val="1"/>
          <w:iCs w:val="1"/>
        </w:rPr>
      </w:pPr>
      <w:r w:rsidDel="00000000" w:rsidR="00000000" w:rsidRPr="00000000">
        <w:rPr>
          <w:b w:val="1"/>
          <w:bCs w:val="1"/>
          <w:rtl w:val="0"/>
        </w:rPr>
        <w:t xml:space="preserve">Rule to carry forward: </w:t>
      </w:r>
      <w:r w:rsidDel="00000000" w:rsidR="00000000" w:rsidRPr="00000000">
        <w:rPr>
          <w:rtl w:val="0"/>
        </w:rPr>
        <w:t xml:space="preserve">Classify each dimension independently: </w:t>
      </w:r>
      <w:r w:rsidDel="00000000" w:rsidR="00000000" w:rsidRPr="00000000">
        <w:rPr>
          <w:i w:val="1"/>
          <w:iCs w:val="1"/>
          <w:rtl w:val="0"/>
        </w:rPr>
        <w:t xml:space="preserve">a clear Purpose can coexist with an Unclear Domain.</w:t>
      </w:r>
    </w:p>
    <w:p w:rsidR="00000000" w:rsidDel="00000000" w:rsidP="00000000" w:rsidRDefault="00000000" w:rsidRPr="00000000" w14:paraId="00000025">
      <w:pPr>
        <w:pStyle w:val="Heading1"/>
        <w:keepNext w:val="1"/>
        <w:spacing w:after="60" w:before="120" w:lineRule="auto"/>
        <w:rPr/>
      </w:pPr>
      <w:r w:rsidDel="00000000" w:rsidR="00000000" w:rsidRPr="00000000">
        <w:rPr>
          <w:rtl w:val="0"/>
        </w:rPr>
        <w:t xml:space="preserve">Example 4: 2024/248</w:t>
      </w:r>
    </w:p>
    <w:p w:rsidR="00000000" w:rsidDel="00000000" w:rsidP="00000000" w:rsidRDefault="00000000" w:rsidRPr="00000000" w14:paraId="00000026">
      <w:pPr>
        <w:keepNext w:val="1"/>
        <w:spacing w:after="60" w:lineRule="auto"/>
        <w:rPr/>
      </w:pPr>
      <w:r w:rsidDel="00000000" w:rsidR="00000000" w:rsidRPr="00000000">
        <w:rPr>
          <w:b w:val="1"/>
          <w:bCs w:val="1"/>
          <w:rtl w:val="0"/>
        </w:rPr>
        <w:t xml:space="preserve">Project title: </w:t>
      </w:r>
      <w:r w:rsidDel="00000000" w:rsidR="00000000" w:rsidRPr="00000000">
        <w:rPr>
          <w:rtl w:val="0"/>
        </w:rPr>
        <w:t xml:space="preserve">Domestic Energy Affordability Schemes impact evaluation</w:t>
      </w:r>
    </w:p>
    <w:p w:rsidR="00000000" w:rsidDel="00000000" w:rsidP="00000000" w:rsidRDefault="00000000" w:rsidRPr="00000000" w14:paraId="00000027">
      <w:pPr>
        <w:keepNext w:val="1"/>
        <w:spacing w:after="60" w:lineRule="auto"/>
        <w:rPr/>
      </w:pPr>
      <w:r w:rsidDel="00000000" w:rsidR="00000000" w:rsidRPr="00000000">
        <w:rPr>
          <w:b w:val="1"/>
          <w:bCs w:val="1"/>
          <w:rtl w:val="0"/>
        </w:rPr>
        <w:t xml:space="preserve">Datasets used: </w:t>
      </w:r>
      <w:r w:rsidDel="00000000" w:rsidR="00000000" w:rsidRPr="00000000">
        <w:rPr>
          <w:rtl w:val="0"/>
        </w:rPr>
        <w:t xml:space="preserve">Office for National Statistics: Living Costs and Food Survey - UK; Department for Work and Pensions: Family Resources Survey - UK</w:t>
      </w:r>
    </w:p>
    <w:p w:rsidR="00000000" w:rsidDel="00000000" w:rsidP="00000000" w:rsidRDefault="00000000" w:rsidRPr="00000000" w14:paraId="00000028">
      <w:pPr>
        <w:pStyle w:val="Heading2"/>
        <w:keepNext w:val="1"/>
        <w:spacing w:after="40" w:before="60" w:lineRule="auto"/>
        <w:rPr/>
      </w:pPr>
      <w:r w:rsidDel="00000000" w:rsidR="00000000" w:rsidRPr="00000000">
        <w:rPr>
          <w:rtl w:val="0"/>
        </w:rPr>
        <w:t xml:space="preserve">Research Domain(s)</w:t>
      </w:r>
    </w:p>
    <w:p w:rsidR="00000000" w:rsidDel="00000000" w:rsidP="00000000" w:rsidRDefault="00000000" w:rsidRPr="00000000" w14:paraId="00000029">
      <w:pPr>
        <w:keepNext w:val="1"/>
        <w:spacing w:after="60" w:lineRule="auto"/>
        <w:rPr/>
      </w:pPr>
      <w:r w:rsidDel="00000000" w:rsidR="00000000" w:rsidRPr="00000000">
        <w:rPr>
          <w:b w:val="1"/>
          <w:bCs w:val="1"/>
          <w:rtl w:val="0"/>
        </w:rPr>
        <w:t xml:space="preserve">Best-supported classification: </w:t>
      </w:r>
      <w:r w:rsidDel="00000000" w:rsidR="00000000" w:rsidRPr="00000000">
        <w:rPr>
          <w:rtl w:val="0"/>
        </w:rPr>
        <w:t xml:space="preserve">Environment &amp; Agriculture; Poverty, Wealth &amp; Living Standards</w:t>
      </w:r>
    </w:p>
    <w:p w:rsidR="00000000" w:rsidDel="00000000" w:rsidP="00000000" w:rsidRDefault="00000000" w:rsidRPr="00000000" w14:paraId="0000002A">
      <w:pPr>
        <w:keepNext w:val="1"/>
        <w:spacing w:after="60" w:lineRule="auto"/>
        <w:rPr/>
      </w:pPr>
      <w:r w:rsidDel="00000000" w:rsidR="00000000" w:rsidRPr="00000000">
        <w:rPr>
          <w:b w:val="1"/>
          <w:bCs w:val="1"/>
          <w:rtl w:val="0"/>
        </w:rPr>
        <w:t xml:space="preserve">Why: </w:t>
      </w:r>
      <w:r w:rsidDel="00000000" w:rsidR="00000000" w:rsidRPr="00000000">
        <w:rPr>
          <w:rtl w:val="0"/>
        </w:rPr>
        <w:t xml:space="preserve">Domestic energy and household affordability are both explicitly substantive. Each Domain therefore has independent support.</w:t>
      </w:r>
    </w:p>
    <w:p w:rsidR="00000000" w:rsidDel="00000000" w:rsidP="00000000" w:rsidRDefault="00000000" w:rsidRPr="00000000" w14:paraId="0000002B">
      <w:pPr>
        <w:pStyle w:val="Heading2"/>
        <w:keepNext w:val="1"/>
        <w:spacing w:after="40" w:before="60" w:lineRule="auto"/>
        <w:rPr/>
      </w:pPr>
      <w:r w:rsidDel="00000000" w:rsidR="00000000" w:rsidRPr="00000000">
        <w:rPr>
          <w:rtl w:val="0"/>
        </w:rPr>
        <w:t xml:space="preserve">Analytical Purpose(s)</w:t>
      </w:r>
    </w:p>
    <w:p w:rsidR="00000000" w:rsidDel="00000000" w:rsidP="00000000" w:rsidRDefault="00000000" w:rsidRPr="00000000" w14:paraId="0000002C">
      <w:pPr>
        <w:keepNext w:val="1"/>
        <w:spacing w:after="60" w:lineRule="auto"/>
        <w:rPr/>
      </w:pPr>
      <w:r w:rsidDel="00000000" w:rsidR="00000000" w:rsidRPr="00000000">
        <w:rPr>
          <w:b w:val="1"/>
          <w:bCs w:val="1"/>
          <w:rtl w:val="0"/>
        </w:rPr>
        <w:t xml:space="preserve">Best-supported classification: </w:t>
      </w:r>
      <w:r w:rsidDel="00000000" w:rsidR="00000000" w:rsidRPr="00000000">
        <w:rPr>
          <w:rtl w:val="0"/>
        </w:rPr>
        <w:t xml:space="preserve">Policy Evaluation / Impact Analysis</w:t>
      </w:r>
    </w:p>
    <w:p w:rsidR="00000000" w:rsidDel="00000000" w:rsidP="00000000" w:rsidRDefault="00000000" w:rsidRPr="00000000" w14:paraId="0000002D">
      <w:pPr>
        <w:keepNext w:val="1"/>
        <w:spacing w:after="60" w:lineRule="auto"/>
        <w:rPr/>
      </w:pPr>
      <w:r w:rsidDel="00000000" w:rsidR="00000000" w:rsidRPr="00000000">
        <w:rPr>
          <w:b w:val="1"/>
          <w:bCs w:val="1"/>
          <w:rtl w:val="0"/>
        </w:rPr>
        <w:t xml:space="preserve">Why: </w:t>
      </w:r>
      <w:r w:rsidDel="00000000" w:rsidR="00000000" w:rsidRPr="00000000">
        <w:rPr>
          <w:rtl w:val="0"/>
        </w:rPr>
        <w:t xml:space="preserve">The phrase 'Schemes impact evaluation' directly identifies evaluation of deliberate programmes or interventions. Public Finance &amp; Taxation should not be added merely because public schemes are being evaluated.</w:t>
      </w:r>
    </w:p>
    <w:p w:rsidR="00000000" w:rsidDel="00000000" w:rsidP="00000000" w:rsidRDefault="00000000" w:rsidRPr="00000000" w14:paraId="0000002E">
      <w:pPr>
        <w:spacing w:after="120" w:lineRule="auto"/>
        <w:rPr/>
      </w:pPr>
      <w:r w:rsidDel="00000000" w:rsidR="00000000" w:rsidRPr="00000000">
        <w:rPr>
          <w:b w:val="1"/>
          <w:bCs w:val="1"/>
          <w:rtl w:val="0"/>
        </w:rPr>
        <w:t xml:space="preserve">Rule to carry forward: </w:t>
      </w:r>
      <w:r w:rsidDel="00000000" w:rsidR="00000000" w:rsidRPr="00000000">
        <w:rPr>
          <w:rtl w:val="0"/>
        </w:rPr>
        <w:t xml:space="preserve">The goal is not always to choose the fewest labels. Assign multiple labels where each is independently and substantively supported.</w:t>
      </w:r>
    </w:p>
    <w:p w:rsidR="00000000" w:rsidDel="00000000" w:rsidP="00000000" w:rsidRDefault="00000000" w:rsidRPr="00000000" w14:paraId="0000002F">
      <w:pPr>
        <w:pStyle w:val="Heading1"/>
        <w:rPr/>
      </w:pPr>
      <w:r w:rsidDel="00000000" w:rsidR="00000000" w:rsidRPr="00000000">
        <w:rPr>
          <w:rtl w:val="0"/>
        </w:rPr>
        <w:t xml:space="preserve">Before formal coding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only the project title, datasets-used field and frozen coding materials.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Treat each Domain and Purpose independently.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Unclear from Register Entry only where the visible evidence genuinely does not determine that dimension.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a boundary remains difficult, make your best rule-based judgement and use confidence, sufficiency, taxonomy fit and a brief note.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Raise rule-level rather than case-specific questions.</w:t>
      </w:r>
    </w:p>
    <w:p w:rsidR="00000000" w:rsidDel="00000000" w:rsidP="00000000" w:rsidRDefault="00000000" w:rsidRPr="00000000" w14:paraId="00000035">
      <w:pPr>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6"/>
      <w:szCs w:val="2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4ePm9QOf541docyz4f6iCBjcMg==">CgMxLjA4AHIhMWNsYm5ONnRhbi1VTkV0LTRmaFZJQkRlZEdvUlRleVp1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