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60" w:line="252" w:lineRule="auto"/>
        <w:jc w:val="left"/>
      </w:pPr>
      <w:r>
        <w:rPr>
          <w:rFonts w:ascii="Arial" w:hAnsi="Arial"/>
          <w:b/>
          <w:color w:val="1F4E78"/>
          <w:sz w:val="42"/>
        </w:rPr>
        <w:t>Pilot Projects: Trainer Debrief Reference</w:t>
      </w:r>
    </w:p>
    <w:p>
      <w:pPr>
        <w:spacing w:before="0" w:after="240" w:line="252" w:lineRule="auto"/>
      </w:pPr>
      <w:r>
        <w:rPr>
          <w:rFonts w:ascii="Arial" w:hAnsi="Arial"/>
          <w:b/>
          <w:color w:val="404040"/>
          <w:sz w:val="21"/>
        </w:rPr>
        <w:t>Taxonomy dict-1.0-rc2 | Trainer copy | Keep hidden until independent pilot completion</w:t>
      </w:r>
    </w:p>
    <w:tbl>
      <w:tblPr>
        <w:tblW w:type="auto" w:w="0"/>
        <w:jc w:val="center"/>
        <w:tblLayout w:type="fixed"/>
        <w:tblLook w:firstColumn="1" w:firstRow="1" w:lastColumn="0" w:lastRow="0" w:noHBand="0" w:noVBand="1" w:val="04A0"/>
      </w:tblPr>
      <w:tblGrid>
        <w:gridCol w:w="9524"/>
      </w:tblGrid>
      <w:tr>
        <w:trPr>
          <w:cantSplit/>
        </w:trPr>
        <w:tc>
          <w:tcPr>
            <w:tcW w:type="dxa" w:w="10200"/>
            <w:shd w:fill="EFF6FB"/>
            <w:tcMar>
              <w:top w:w="140" w:type="dxa"/>
              <w:start w:w="160" w:type="dxa"/>
              <w:bottom w:w="140" w:type="dxa"/>
              <w:end w:w="160" w:type="dxa"/>
            </w:tcMar>
            <w:tcBorders>
              <w:top w:val="single" w:sz="8" w:color="1F4E78"/>
              <w:start w:val="single" w:sz="8" w:color="1F4E78"/>
              <w:bottom w:val="single" w:sz="8" w:color="1F4E78"/>
              <w:end w:val="single" w:sz="8" w:color="1F4E78"/>
            </w:tcBorders>
          </w:tcPr>
          <w:p>
            <w:r>
              <w:rPr>
                <w:rFonts w:ascii="Arial" w:hAnsi="Arial"/>
                <w:b/>
                <w:color w:val="1F4E78"/>
                <w:sz w:val="22"/>
              </w:rPr>
              <w:t>Purpose and use</w:t>
            </w:r>
          </w:p>
          <w:p>
            <w:pPr>
              <w:spacing w:before="0" w:after="40" w:line="252" w:lineRule="auto"/>
            </w:pPr>
            <w:r>
              <w:rPr>
                <w:rFonts w:ascii="Arial" w:hAnsi="Arial"/>
                <w:color w:val="404040"/>
                <w:sz w:val="20"/>
              </w:rPr>
              <w:t>This is an instructor reference, not a scored answer key. The independent pilot tests the instrument, instructions, conditional fields and boundary rules—not coder accuracy. Consult this file only after all pilot responses are complete. Some cases have a settled reading; others intentionally preserve a genuine boundary. In every case, the written taxonomy rules take precedence over analogy to these examples.</w:t>
            </w:r>
          </w:p>
        </w:tc>
      </w:tr>
    </w:tbl>
    <w:p>
      <w:pPr>
        <w:spacing w:before="160" w:after="60" w:line="252" w:lineRule="auto"/>
      </w:pPr>
      <w:r>
        <w:rPr>
          <w:rFonts w:ascii="Arial" w:hAnsi="Arial"/>
          <w:b/>
          <w:color w:val="1F4E78"/>
          <w:sz w:val="24"/>
        </w:rPr>
        <w:t>How to use in the debrief</w:t>
      </w:r>
    </w:p>
    <w:p>
      <w:pPr>
        <w:spacing w:before="0" w:after="40" w:line="252" w:lineRule="auto"/>
        <w:ind w:left="255" w:hanging="142"/>
      </w:pPr>
      <w:r>
        <w:rPr>
          <w:rFonts w:ascii="Arial" w:hAnsi="Arial"/>
          <w:color w:val="404040"/>
          <w:sz w:val="20"/>
        </w:rPr>
        <w:t>• Start with the coders’ evidence and reasoning rather than announcing the instructor reading.</w:t>
      </w:r>
    </w:p>
    <w:p>
      <w:pPr>
        <w:spacing w:before="0" w:after="40" w:line="252" w:lineRule="auto"/>
        <w:ind w:left="255" w:hanging="142"/>
      </w:pPr>
      <w:r>
        <w:rPr>
          <w:rFonts w:ascii="Arial" w:hAnsi="Arial"/>
          <w:color w:val="404040"/>
          <w:sz w:val="20"/>
        </w:rPr>
        <w:t>• Distinguish register-evidence insufficiency from taxonomy fit and from personal uncertainty.</w:t>
      </w:r>
    </w:p>
    <w:p>
      <w:pPr>
        <w:spacing w:before="0" w:after="40" w:line="252" w:lineRule="auto"/>
        <w:ind w:left="255" w:hanging="142"/>
      </w:pPr>
      <w:r>
        <w:rPr>
          <w:rFonts w:ascii="Arial" w:hAnsi="Arial"/>
          <w:color w:val="404040"/>
          <w:sz w:val="20"/>
        </w:rPr>
        <w:t>• For boundary cases, record whether the form let coders express a defensible judgement coherently.</w:t>
      </w:r>
    </w:p>
    <w:p>
      <w:pPr>
        <w:spacing w:before="0" w:after="40" w:line="252" w:lineRule="auto"/>
        <w:ind w:left="255" w:hanging="142"/>
      </w:pPr>
      <w:r>
        <w:rPr>
          <w:rFonts w:ascii="Arial" w:hAnsi="Arial"/>
          <w:color w:val="404040"/>
          <w:sz w:val="20"/>
        </w:rPr>
        <w:t>• Do not carry case-specific answers from the pilot into formal coding; only shared rule clarifications may be circulated.</w:t>
      </w:r>
    </w:p>
    <w:p>
      <w:pPr>
        <w:spacing w:before="160" w:after="80" w:line="252" w:lineRule="auto"/>
      </w:pPr>
      <w:r>
        <w:rPr>
          <w:rFonts w:ascii="Arial" w:hAnsi="Arial"/>
          <w:b/>
          <w:color w:val="1F4E78"/>
          <w:sz w:val="24"/>
        </w:rPr>
        <w:t>Pilot overview</w:t>
      </w:r>
    </w:p>
    <w:tbl>
      <w:tblPr>
        <w:tblW w:type="auto" w:w="0"/>
        <w:jc w:val="center"/>
        <w:tblLayout w:type="fixed"/>
        <w:tblLook w:firstColumn="1" w:firstRow="1" w:lastColumn="0" w:lastRow="0" w:noHBand="0" w:noVBand="1" w:val="04A0"/>
      </w:tblPr>
      <w:tblGrid>
        <w:gridCol w:w="624"/>
        <w:gridCol w:w="1247"/>
        <w:gridCol w:w="4819"/>
        <w:gridCol w:w="2721"/>
      </w:tblGrid>
      <w:tr>
        <w:trPr>
          <w:tblHeader w:val="true"/>
          <w:cantSplit/>
        </w:trPr>
        <w:tc>
          <w:tcPr>
            <w:tcW w:type="dxa" w:w="2550"/>
            <w:shd w:fill="1F4E78"/>
            <w:tcMar>
              <w:top w:w="90" w:type="dxa"/>
              <w:start w:w="110" w:type="dxa"/>
              <w:bottom w:w="90" w:type="dxa"/>
              <w:end w:w="110" w:type="dxa"/>
            </w:tcMar>
          </w:tcPr>
          <w:p>
            <w:r>
              <w:rPr>
                <w:rFonts w:ascii="Arial" w:hAnsi="Arial"/>
                <w:b/>
                <w:color w:val="FFFFFF"/>
                <w:sz w:val="18"/>
              </w:rPr>
              <w:t>Pilot</w:t>
            </w:r>
          </w:p>
        </w:tc>
        <w:tc>
          <w:tcPr>
            <w:tcW w:type="dxa" w:w="2550"/>
            <w:shd w:fill="1F4E78"/>
            <w:tcMar>
              <w:top w:w="90" w:type="dxa"/>
              <w:start w:w="110" w:type="dxa"/>
              <w:bottom w:w="90" w:type="dxa"/>
              <w:end w:w="110" w:type="dxa"/>
            </w:tcMar>
          </w:tcPr>
          <w:p>
            <w:r>
              <w:rPr>
                <w:rFonts w:ascii="Arial" w:hAnsi="Arial"/>
                <w:b/>
                <w:color w:val="FFFFFF"/>
                <w:sz w:val="18"/>
              </w:rPr>
              <w:t>Record ID</w:t>
            </w:r>
          </w:p>
        </w:tc>
        <w:tc>
          <w:tcPr>
            <w:tcW w:type="dxa" w:w="2550"/>
            <w:shd w:fill="1F4E78"/>
            <w:tcMar>
              <w:top w:w="90" w:type="dxa"/>
              <w:start w:w="110" w:type="dxa"/>
              <w:bottom w:w="90" w:type="dxa"/>
              <w:end w:w="110" w:type="dxa"/>
            </w:tcMar>
          </w:tcPr>
          <w:p>
            <w:r>
              <w:rPr>
                <w:rFonts w:ascii="Arial" w:hAnsi="Arial"/>
                <w:b/>
                <w:color w:val="FFFFFF"/>
                <w:sz w:val="18"/>
              </w:rPr>
              <w:t>Instructor reading</w:t>
            </w:r>
          </w:p>
        </w:tc>
        <w:tc>
          <w:tcPr>
            <w:tcW w:type="dxa" w:w="2550"/>
            <w:shd w:fill="1F4E78"/>
            <w:tcMar>
              <w:top w:w="90" w:type="dxa"/>
              <w:start w:w="110" w:type="dxa"/>
              <w:bottom w:w="90" w:type="dxa"/>
              <w:end w:w="110" w:type="dxa"/>
            </w:tcMar>
          </w:tcPr>
          <w:p>
            <w:r>
              <w:rPr>
                <w:rFonts w:ascii="Arial" w:hAnsi="Arial"/>
                <w:b/>
                <w:color w:val="FFFFFF"/>
                <w:sz w:val="18"/>
              </w:rPr>
              <w:t>Debrief status</w:t>
            </w:r>
          </w:p>
        </w:tc>
      </w:tr>
      <w:tr>
        <w:trPr>
          <w:cantSplit/>
          <w:cantSplit/>
        </w:trPr>
        <w:tc>
          <w:tcPr>
            <w:tcW w:type="dxa" w:w="624"/>
            <w:tcMar>
              <w:top w:w="65" w:type="dxa"/>
              <w:start w:w="75" w:type="dxa"/>
              <w:bottom w:w="65" w:type="dxa"/>
              <w:end w:w="75" w:type="dxa"/>
            </w:tcMar>
          </w:tcPr>
          <w:p>
            <w:r>
              <w:rPr>
                <w:rFonts w:ascii="Arial" w:hAnsi="Arial"/>
                <w:b/>
                <w:color w:val="404040"/>
                <w:sz w:val="16"/>
              </w:rPr>
              <w:t>1</w:t>
            </w:r>
          </w:p>
        </w:tc>
        <w:tc>
          <w:tcPr>
            <w:tcW w:type="dxa" w:w="1247"/>
            <w:tcMar>
              <w:top w:w="65" w:type="dxa"/>
              <w:start w:w="75" w:type="dxa"/>
              <w:bottom w:w="65" w:type="dxa"/>
              <w:end w:w="75" w:type="dxa"/>
            </w:tcMar>
          </w:tcPr>
          <w:p>
            <w:r>
              <w:rPr>
                <w:rFonts w:ascii="Arial" w:hAnsi="Arial"/>
                <w:b/>
                <w:color w:val="404040"/>
                <w:sz w:val="16"/>
              </w:rPr>
              <w:t>2019/015</w:t>
            </w:r>
          </w:p>
        </w:tc>
        <w:tc>
          <w:tcPr>
            <w:tcW w:type="dxa" w:w="4819"/>
            <w:tcMar>
              <w:top w:w="65" w:type="dxa"/>
              <w:start w:w="75" w:type="dxa"/>
              <w:bottom w:w="65" w:type="dxa"/>
              <w:end w:w="75" w:type="dxa"/>
            </w:tcMar>
          </w:tcPr>
          <w:p>
            <w:r>
              <w:rPr>
                <w:rFonts w:ascii="Arial" w:hAnsi="Arial"/>
                <w:b w:val="0"/>
                <w:color w:val="404040"/>
                <w:sz w:val="16"/>
              </w:rPr>
              <w:t>Poverty, Wealth &amp; Living Standards | Descriptive Monitoring | Equity No; COVID No</w:t>
            </w:r>
          </w:p>
        </w:tc>
        <w:tc>
          <w:tcPr>
            <w:tcW w:type="dxa" w:w="2721"/>
            <w:tcMar>
              <w:top w:w="65" w:type="dxa"/>
              <w:start w:w="75" w:type="dxa"/>
              <w:bottom w:w="65" w:type="dxa"/>
              <w:end w:w="75" w:type="dxa"/>
            </w:tcMar>
          </w:tcPr>
          <w:p>
            <w:r>
              <w:rPr>
                <w:rFonts w:ascii="Arial" w:hAnsi="Arial"/>
                <w:b w:val="0"/>
                <w:color w:val="404040"/>
                <w:sz w:val="16"/>
              </w:rPr>
              <w:t>Settled instructor reading</w:t>
            </w:r>
          </w:p>
        </w:tc>
      </w:tr>
      <w:tr>
        <w:trPr>
          <w:cantSplit/>
          <w:cantSplit/>
        </w:trPr>
        <w:tc>
          <w:tcPr>
            <w:tcW w:type="dxa" w:w="624"/>
            <w:tcMar>
              <w:top w:w="65" w:type="dxa"/>
              <w:start w:w="75" w:type="dxa"/>
              <w:bottom w:w="65" w:type="dxa"/>
              <w:end w:w="75" w:type="dxa"/>
            </w:tcMar>
            <w:shd w:fill="F2F2F2"/>
          </w:tcPr>
          <w:p>
            <w:r>
              <w:rPr>
                <w:rFonts w:ascii="Arial" w:hAnsi="Arial"/>
                <w:b/>
                <w:color w:val="404040"/>
                <w:sz w:val="16"/>
              </w:rPr>
              <w:t>2</w:t>
            </w:r>
          </w:p>
        </w:tc>
        <w:tc>
          <w:tcPr>
            <w:tcW w:type="dxa" w:w="1247"/>
            <w:tcMar>
              <w:top w:w="65" w:type="dxa"/>
              <w:start w:w="75" w:type="dxa"/>
              <w:bottom w:w="65" w:type="dxa"/>
              <w:end w:w="75" w:type="dxa"/>
            </w:tcMar>
            <w:shd w:fill="F2F2F2"/>
          </w:tcPr>
          <w:p>
            <w:r>
              <w:rPr>
                <w:rFonts w:ascii="Arial" w:hAnsi="Arial"/>
                <w:b/>
                <w:color w:val="404040"/>
                <w:sz w:val="16"/>
              </w:rPr>
              <w:t>2021/038</w:t>
            </w:r>
          </w:p>
        </w:tc>
        <w:tc>
          <w:tcPr>
            <w:tcW w:type="dxa" w:w="4819"/>
            <w:tcMar>
              <w:top w:w="65" w:type="dxa"/>
              <w:start w:w="75" w:type="dxa"/>
              <w:bottom w:w="65" w:type="dxa"/>
              <w:end w:w="75" w:type="dxa"/>
            </w:tcMar>
            <w:shd w:fill="F2F2F2"/>
          </w:tcPr>
          <w:p>
            <w:r>
              <w:rPr>
                <w:rFonts w:ascii="Arial" w:hAnsi="Arial"/>
                <w:b w:val="0"/>
                <w:color w:val="404040"/>
                <w:sz w:val="16"/>
              </w:rPr>
              <w:t>Crime &amp; Justice | Life-Course / Trajectory Analysis; Service Interaction / Systems Analysis | Equity No; COVID No</w:t>
            </w:r>
          </w:p>
        </w:tc>
        <w:tc>
          <w:tcPr>
            <w:tcW w:type="dxa" w:w="2721"/>
            <w:tcMar>
              <w:top w:w="65" w:type="dxa"/>
              <w:start w:w="75" w:type="dxa"/>
              <w:bottom w:w="65" w:type="dxa"/>
              <w:end w:w="75" w:type="dxa"/>
            </w:tcMar>
            <w:shd w:fill="F2F2F2"/>
          </w:tcPr>
          <w:p>
            <w:r>
              <w:rPr>
                <w:rFonts w:ascii="Arial" w:hAnsi="Arial"/>
                <w:b w:val="0"/>
                <w:color w:val="404040"/>
                <w:sz w:val="16"/>
              </w:rPr>
              <w:t>Settled instructor reading</w:t>
            </w:r>
          </w:p>
        </w:tc>
      </w:tr>
      <w:tr>
        <w:trPr>
          <w:cantSplit/>
          <w:cantSplit/>
        </w:trPr>
        <w:tc>
          <w:tcPr>
            <w:tcW w:type="dxa" w:w="624"/>
            <w:tcMar>
              <w:top w:w="65" w:type="dxa"/>
              <w:start w:w="75" w:type="dxa"/>
              <w:bottom w:w="65" w:type="dxa"/>
              <w:end w:w="75" w:type="dxa"/>
            </w:tcMar>
          </w:tcPr>
          <w:p>
            <w:r>
              <w:rPr>
                <w:rFonts w:ascii="Arial" w:hAnsi="Arial"/>
                <w:b/>
                <w:color w:val="404040"/>
                <w:sz w:val="16"/>
              </w:rPr>
              <w:t>3</w:t>
            </w:r>
          </w:p>
        </w:tc>
        <w:tc>
          <w:tcPr>
            <w:tcW w:type="dxa" w:w="1247"/>
            <w:tcMar>
              <w:top w:w="65" w:type="dxa"/>
              <w:start w:w="75" w:type="dxa"/>
              <w:bottom w:w="65" w:type="dxa"/>
              <w:end w:w="75" w:type="dxa"/>
            </w:tcMar>
          </w:tcPr>
          <w:p>
            <w:r>
              <w:rPr>
                <w:rFonts w:ascii="Arial" w:hAnsi="Arial"/>
                <w:b/>
                <w:color w:val="404040"/>
                <w:sz w:val="16"/>
              </w:rPr>
              <w:t>2021/063</w:t>
            </w:r>
          </w:p>
        </w:tc>
        <w:tc>
          <w:tcPr>
            <w:tcW w:type="dxa" w:w="4819"/>
            <w:tcMar>
              <w:top w:w="65" w:type="dxa"/>
              <w:start w:w="75" w:type="dxa"/>
              <w:bottom w:w="65" w:type="dxa"/>
              <w:end w:w="75" w:type="dxa"/>
            </w:tcMar>
          </w:tcPr>
          <w:p>
            <w:r>
              <w:rPr>
                <w:rFonts w:ascii="Arial" w:hAnsi="Arial"/>
                <w:b w:val="0"/>
                <w:color w:val="404040"/>
                <w:sz w:val="16"/>
              </w:rPr>
              <w:t>Labour Market &amp; Employment | Descriptive Monitoring | Equity Yes; COVID No</w:t>
            </w:r>
          </w:p>
        </w:tc>
        <w:tc>
          <w:tcPr>
            <w:tcW w:type="dxa" w:w="2721"/>
            <w:tcMar>
              <w:top w:w="65" w:type="dxa"/>
              <w:start w:w="75" w:type="dxa"/>
              <w:bottom w:w="65" w:type="dxa"/>
              <w:end w:w="75" w:type="dxa"/>
            </w:tcMar>
          </w:tcPr>
          <w:p>
            <w:r>
              <w:rPr>
                <w:rFonts w:ascii="Arial" w:hAnsi="Arial"/>
                <w:b w:val="0"/>
                <w:color w:val="404040"/>
                <w:sz w:val="16"/>
              </w:rPr>
              <w:t>Settled instructor reading</w:t>
            </w:r>
          </w:p>
        </w:tc>
      </w:tr>
      <w:tr>
        <w:trPr>
          <w:cantSplit/>
          <w:cantSplit/>
        </w:trPr>
        <w:tc>
          <w:tcPr>
            <w:tcW w:type="dxa" w:w="624"/>
            <w:tcMar>
              <w:top w:w="65" w:type="dxa"/>
              <w:start w:w="75" w:type="dxa"/>
              <w:bottom w:w="65" w:type="dxa"/>
              <w:end w:w="75" w:type="dxa"/>
            </w:tcMar>
            <w:shd w:fill="F2F2F2"/>
          </w:tcPr>
          <w:p>
            <w:r>
              <w:rPr>
                <w:rFonts w:ascii="Arial" w:hAnsi="Arial"/>
                <w:b/>
                <w:color w:val="404040"/>
                <w:sz w:val="16"/>
              </w:rPr>
              <w:t>4</w:t>
            </w:r>
          </w:p>
        </w:tc>
        <w:tc>
          <w:tcPr>
            <w:tcW w:type="dxa" w:w="1247"/>
            <w:tcMar>
              <w:top w:w="65" w:type="dxa"/>
              <w:start w:w="75" w:type="dxa"/>
              <w:bottom w:w="65" w:type="dxa"/>
              <w:end w:w="75" w:type="dxa"/>
            </w:tcMar>
            <w:shd w:fill="F2F2F2"/>
          </w:tcPr>
          <w:p>
            <w:r>
              <w:rPr>
                <w:rFonts w:ascii="Arial" w:hAnsi="Arial"/>
                <w:b/>
                <w:color w:val="404040"/>
                <w:sz w:val="16"/>
              </w:rPr>
              <w:t>2021/103</w:t>
            </w:r>
          </w:p>
        </w:tc>
        <w:tc>
          <w:tcPr>
            <w:tcW w:type="dxa" w:w="4819"/>
            <w:tcMar>
              <w:top w:w="65" w:type="dxa"/>
              <w:start w:w="75" w:type="dxa"/>
              <w:bottom w:w="65" w:type="dxa"/>
              <w:end w:w="75" w:type="dxa"/>
            </w:tcMar>
            <w:shd w:fill="F2F2F2"/>
          </w:tcPr>
          <w:p>
            <w:r>
              <w:rPr>
                <w:rFonts w:ascii="Arial" w:hAnsi="Arial"/>
                <w:b w:val="0"/>
                <w:color w:val="404040"/>
                <w:sz w:val="16"/>
              </w:rPr>
              <w:t>Poverty, Wealth &amp; Living Standards | Unclear from Register Entry | Equity No; COVID No</w:t>
            </w:r>
          </w:p>
        </w:tc>
        <w:tc>
          <w:tcPr>
            <w:tcW w:type="dxa" w:w="2721"/>
            <w:tcMar>
              <w:top w:w="65" w:type="dxa"/>
              <w:start w:w="75" w:type="dxa"/>
              <w:bottom w:w="65" w:type="dxa"/>
              <w:end w:w="75" w:type="dxa"/>
            </w:tcMar>
            <w:shd w:fill="F2F2F2"/>
          </w:tcPr>
          <w:p>
            <w:r>
              <w:rPr>
                <w:rFonts w:ascii="Arial" w:hAnsi="Arial"/>
                <w:b w:val="0"/>
                <w:color w:val="404040"/>
                <w:sz w:val="16"/>
              </w:rPr>
              <w:t>Preferred instructor reading</w:t>
            </w:r>
          </w:p>
        </w:tc>
      </w:tr>
      <w:tr>
        <w:trPr>
          <w:cantSplit/>
          <w:cantSplit/>
        </w:trPr>
        <w:tc>
          <w:tcPr>
            <w:tcW w:type="dxa" w:w="624"/>
            <w:tcMar>
              <w:top w:w="65" w:type="dxa"/>
              <w:start w:w="75" w:type="dxa"/>
              <w:bottom w:w="65" w:type="dxa"/>
              <w:end w:w="75" w:type="dxa"/>
            </w:tcMar>
          </w:tcPr>
          <w:p>
            <w:r>
              <w:rPr>
                <w:rFonts w:ascii="Arial" w:hAnsi="Arial"/>
                <w:b/>
                <w:color w:val="404040"/>
                <w:sz w:val="16"/>
              </w:rPr>
              <w:t>5</w:t>
            </w:r>
          </w:p>
        </w:tc>
        <w:tc>
          <w:tcPr>
            <w:tcW w:type="dxa" w:w="1247"/>
            <w:tcMar>
              <w:top w:w="65" w:type="dxa"/>
              <w:start w:w="75" w:type="dxa"/>
              <w:bottom w:w="65" w:type="dxa"/>
              <w:end w:w="75" w:type="dxa"/>
            </w:tcMar>
          </w:tcPr>
          <w:p>
            <w:r>
              <w:rPr>
                <w:rFonts w:ascii="Arial" w:hAnsi="Arial"/>
                <w:b/>
                <w:color w:val="404040"/>
                <w:sz w:val="16"/>
              </w:rPr>
              <w:t>2022/130</w:t>
            </w:r>
          </w:p>
        </w:tc>
        <w:tc>
          <w:tcPr>
            <w:tcW w:type="dxa" w:w="4819"/>
            <w:tcMar>
              <w:top w:w="65" w:type="dxa"/>
              <w:start w:w="75" w:type="dxa"/>
              <w:bottom w:w="65" w:type="dxa"/>
              <w:end w:w="75" w:type="dxa"/>
            </w:tcMar>
          </w:tcPr>
          <w:p>
            <w:r>
              <w:rPr>
                <w:rFonts w:ascii="Arial" w:hAnsi="Arial"/>
                <w:b w:val="0"/>
                <w:color w:val="404040"/>
                <w:sz w:val="16"/>
              </w:rPr>
              <w:t>Labour Market &amp; Employment; Health &amp; Social Care (preferred, but Labour Market &amp; Employment alone is defensible) | Outcome Tracking | Equity Yes; COVID No</w:t>
            </w:r>
          </w:p>
        </w:tc>
        <w:tc>
          <w:tcPr>
            <w:tcW w:type="dxa" w:w="2721"/>
            <w:tcMar>
              <w:top w:w="65" w:type="dxa"/>
              <w:start w:w="75" w:type="dxa"/>
              <w:bottom w:w="65" w:type="dxa"/>
              <w:end w:w="75" w:type="dxa"/>
            </w:tcMar>
          </w:tcPr>
          <w:p>
            <w:r>
              <w:rPr>
                <w:rFonts w:ascii="Arial" w:hAnsi="Arial"/>
                <w:b w:val="0"/>
                <w:color w:val="404040"/>
                <w:sz w:val="16"/>
              </w:rPr>
              <w:t>Settled core with a genuine domain boundary</w:t>
            </w:r>
          </w:p>
        </w:tc>
      </w:tr>
      <w:tr>
        <w:trPr>
          <w:cantSplit/>
          <w:cantSplit/>
        </w:trPr>
        <w:tc>
          <w:tcPr>
            <w:tcW w:type="dxa" w:w="624"/>
            <w:tcMar>
              <w:top w:w="65" w:type="dxa"/>
              <w:start w:w="75" w:type="dxa"/>
              <w:bottom w:w="65" w:type="dxa"/>
              <w:end w:w="75" w:type="dxa"/>
            </w:tcMar>
            <w:shd w:fill="F2F2F2"/>
          </w:tcPr>
          <w:p>
            <w:r>
              <w:rPr>
                <w:rFonts w:ascii="Arial" w:hAnsi="Arial"/>
                <w:b/>
                <w:color w:val="404040"/>
                <w:sz w:val="16"/>
              </w:rPr>
              <w:t>6</w:t>
            </w:r>
          </w:p>
        </w:tc>
        <w:tc>
          <w:tcPr>
            <w:tcW w:type="dxa" w:w="1247"/>
            <w:tcMar>
              <w:top w:w="65" w:type="dxa"/>
              <w:start w:w="75" w:type="dxa"/>
              <w:bottom w:w="65" w:type="dxa"/>
              <w:end w:w="75" w:type="dxa"/>
            </w:tcMar>
            <w:shd w:fill="F2F2F2"/>
          </w:tcPr>
          <w:p>
            <w:r>
              <w:rPr>
                <w:rFonts w:ascii="Arial" w:hAnsi="Arial"/>
                <w:b/>
                <w:color w:val="404040"/>
                <w:sz w:val="16"/>
              </w:rPr>
              <w:t>2024/248</w:t>
            </w:r>
          </w:p>
        </w:tc>
        <w:tc>
          <w:tcPr>
            <w:tcW w:type="dxa" w:w="4819"/>
            <w:tcMar>
              <w:top w:w="65" w:type="dxa"/>
              <w:start w:w="75" w:type="dxa"/>
              <w:bottom w:w="65" w:type="dxa"/>
              <w:end w:w="75" w:type="dxa"/>
            </w:tcMar>
            <w:shd w:fill="F2F2F2"/>
          </w:tcPr>
          <w:p>
            <w:r>
              <w:rPr>
                <w:rFonts w:ascii="Arial" w:hAnsi="Arial"/>
                <w:b w:val="0"/>
                <w:color w:val="404040"/>
                <w:sz w:val="16"/>
              </w:rPr>
              <w:t>Environment &amp; Agriculture; Poverty, Wealth &amp; Living Standards | Policy Evaluation / Impact Analysis | Equity No; COVID No</w:t>
            </w:r>
          </w:p>
        </w:tc>
        <w:tc>
          <w:tcPr>
            <w:tcW w:type="dxa" w:w="2721"/>
            <w:tcMar>
              <w:top w:w="65" w:type="dxa"/>
              <w:start w:w="75" w:type="dxa"/>
              <w:bottom w:w="65" w:type="dxa"/>
              <w:end w:w="75" w:type="dxa"/>
            </w:tcMar>
            <w:shd w:fill="F2F2F2"/>
          </w:tcPr>
          <w:p>
            <w:r>
              <w:rPr>
                <w:rFonts w:ascii="Arial" w:hAnsi="Arial"/>
                <w:b w:val="0"/>
                <w:color w:val="404040"/>
                <w:sz w:val="16"/>
              </w:rPr>
              <w:t>Preferred instructor reading</w:t>
            </w:r>
          </w:p>
        </w:tc>
      </w:tr>
      <w:tr>
        <w:trPr>
          <w:cantSplit/>
          <w:cantSplit/>
        </w:trPr>
        <w:tc>
          <w:tcPr>
            <w:tcW w:type="dxa" w:w="624"/>
            <w:tcMar>
              <w:top w:w="65" w:type="dxa"/>
              <w:start w:w="75" w:type="dxa"/>
              <w:bottom w:w="65" w:type="dxa"/>
              <w:end w:w="75" w:type="dxa"/>
            </w:tcMar>
          </w:tcPr>
          <w:p>
            <w:r>
              <w:rPr>
                <w:rFonts w:ascii="Arial" w:hAnsi="Arial"/>
                <w:b/>
                <w:color w:val="404040"/>
                <w:sz w:val="16"/>
              </w:rPr>
              <w:t>7</w:t>
            </w:r>
          </w:p>
        </w:tc>
        <w:tc>
          <w:tcPr>
            <w:tcW w:type="dxa" w:w="1247"/>
            <w:tcMar>
              <w:top w:w="65" w:type="dxa"/>
              <w:start w:w="75" w:type="dxa"/>
              <w:bottom w:w="65" w:type="dxa"/>
              <w:end w:w="75" w:type="dxa"/>
            </w:tcMar>
          </w:tcPr>
          <w:p>
            <w:r>
              <w:rPr>
                <w:rFonts w:ascii="Arial" w:hAnsi="Arial"/>
                <w:b/>
                <w:color w:val="404040"/>
                <w:sz w:val="16"/>
              </w:rPr>
              <w:t>2021/056</w:t>
            </w:r>
          </w:p>
        </w:tc>
        <w:tc>
          <w:tcPr>
            <w:tcW w:type="dxa" w:w="4819"/>
            <w:tcMar>
              <w:top w:w="65" w:type="dxa"/>
              <w:start w:w="75" w:type="dxa"/>
              <w:bottom w:w="65" w:type="dxa"/>
              <w:end w:w="75" w:type="dxa"/>
            </w:tcMar>
          </w:tcPr>
          <w:p>
            <w:r>
              <w:rPr>
                <w:rFonts w:ascii="Arial" w:hAnsi="Arial"/>
                <w:b w:val="0"/>
                <w:color w:val="404040"/>
                <w:sz w:val="16"/>
              </w:rPr>
              <w:t>Unclear from Register Entry | Policy Evaluation / Impact Analysis | Equity No; COVID No</w:t>
            </w:r>
          </w:p>
        </w:tc>
        <w:tc>
          <w:tcPr>
            <w:tcW w:type="dxa" w:w="2721"/>
            <w:tcMar>
              <w:top w:w="65" w:type="dxa"/>
              <w:start w:w="75" w:type="dxa"/>
              <w:bottom w:w="65" w:type="dxa"/>
              <w:end w:w="75" w:type="dxa"/>
            </w:tcMar>
          </w:tcPr>
          <w:p>
            <w:r>
              <w:rPr>
                <w:rFonts w:ascii="Arial" w:hAnsi="Arial"/>
                <w:b w:val="0"/>
                <w:color w:val="404040"/>
                <w:sz w:val="16"/>
              </w:rPr>
              <w:t>Preferred register-only reading</w:t>
            </w:r>
          </w:p>
        </w:tc>
      </w:tr>
      <w:tr>
        <w:trPr>
          <w:cantSplit/>
          <w:cantSplit/>
        </w:trPr>
        <w:tc>
          <w:tcPr>
            <w:tcW w:type="dxa" w:w="624"/>
            <w:tcMar>
              <w:top w:w="65" w:type="dxa"/>
              <w:start w:w="75" w:type="dxa"/>
              <w:bottom w:w="65" w:type="dxa"/>
              <w:end w:w="75" w:type="dxa"/>
            </w:tcMar>
            <w:shd w:fill="F2F2F2"/>
          </w:tcPr>
          <w:p>
            <w:r>
              <w:rPr>
                <w:rFonts w:ascii="Arial" w:hAnsi="Arial"/>
                <w:b/>
                <w:color w:val="404040"/>
                <w:sz w:val="16"/>
              </w:rPr>
              <w:t>8</w:t>
            </w:r>
          </w:p>
        </w:tc>
        <w:tc>
          <w:tcPr>
            <w:tcW w:type="dxa" w:w="1247"/>
            <w:tcMar>
              <w:top w:w="65" w:type="dxa"/>
              <w:start w:w="75" w:type="dxa"/>
              <w:bottom w:w="65" w:type="dxa"/>
              <w:end w:w="75" w:type="dxa"/>
            </w:tcMar>
            <w:shd w:fill="F2F2F2"/>
          </w:tcPr>
          <w:p>
            <w:r>
              <w:rPr>
                <w:rFonts w:ascii="Arial" w:hAnsi="Arial"/>
                <w:b/>
                <w:color w:val="404040"/>
                <w:sz w:val="16"/>
              </w:rPr>
              <w:t>2022/034</w:t>
            </w:r>
          </w:p>
        </w:tc>
        <w:tc>
          <w:tcPr>
            <w:tcW w:type="dxa" w:w="4819"/>
            <w:tcMar>
              <w:top w:w="65" w:type="dxa"/>
              <w:start w:w="75" w:type="dxa"/>
              <w:bottom w:w="65" w:type="dxa"/>
              <w:end w:w="75" w:type="dxa"/>
            </w:tcMar>
            <w:shd w:fill="F2F2F2"/>
          </w:tcPr>
          <w:p>
            <w:r>
              <w:rPr>
                <w:rFonts w:ascii="Arial" w:hAnsi="Arial"/>
                <w:b w:val="0"/>
                <w:color w:val="404040"/>
                <w:sz w:val="16"/>
              </w:rPr>
              <w:t>Business &amp; Productivity (settled); Data Infrastructure &amp; Methodology is defensible but not required | Methodological / Infrastructure Research (preferred); Descriptive Monitoring is a defensible alternative | Equity No; COVID Yes</w:t>
            </w:r>
          </w:p>
        </w:tc>
        <w:tc>
          <w:tcPr>
            <w:tcW w:type="dxa" w:w="2721"/>
            <w:tcMar>
              <w:top w:w="65" w:type="dxa"/>
              <w:start w:w="75" w:type="dxa"/>
              <w:bottom w:w="65" w:type="dxa"/>
              <w:end w:w="75" w:type="dxa"/>
            </w:tcMar>
            <w:shd w:fill="F2F2F2"/>
          </w:tcPr>
          <w:p>
            <w:r>
              <w:rPr>
                <w:rFonts w:ascii="Arial" w:hAnsi="Arial"/>
                <w:b w:val="0"/>
                <w:color w:val="404040"/>
                <w:sz w:val="16"/>
              </w:rPr>
              <w:t>Settled core with an analytical-method boundary</w:t>
            </w:r>
          </w:p>
        </w:tc>
      </w:tr>
      <w:tr>
        <w:trPr>
          <w:cantSplit/>
          <w:cantSplit/>
        </w:trPr>
        <w:tc>
          <w:tcPr>
            <w:tcW w:type="dxa" w:w="624"/>
            <w:tcMar>
              <w:top w:w="65" w:type="dxa"/>
              <w:start w:w="75" w:type="dxa"/>
              <w:bottom w:w="65" w:type="dxa"/>
              <w:end w:w="75" w:type="dxa"/>
            </w:tcMar>
          </w:tcPr>
          <w:p>
            <w:r>
              <w:rPr>
                <w:rFonts w:ascii="Arial" w:hAnsi="Arial"/>
                <w:b/>
                <w:color w:val="404040"/>
                <w:sz w:val="16"/>
              </w:rPr>
              <w:t>9</w:t>
            </w:r>
          </w:p>
        </w:tc>
        <w:tc>
          <w:tcPr>
            <w:tcW w:type="dxa" w:w="1247"/>
            <w:tcMar>
              <w:top w:w="65" w:type="dxa"/>
              <w:start w:w="75" w:type="dxa"/>
              <w:bottom w:w="65" w:type="dxa"/>
              <w:end w:w="75" w:type="dxa"/>
            </w:tcMar>
          </w:tcPr>
          <w:p>
            <w:r>
              <w:rPr>
                <w:rFonts w:ascii="Arial" w:hAnsi="Arial"/>
                <w:b/>
                <w:color w:val="404040"/>
                <w:sz w:val="16"/>
              </w:rPr>
              <w:t>2025/181</w:t>
            </w:r>
          </w:p>
        </w:tc>
        <w:tc>
          <w:tcPr>
            <w:tcW w:type="dxa" w:w="4819"/>
            <w:tcMar>
              <w:top w:w="65" w:type="dxa"/>
              <w:start w:w="75" w:type="dxa"/>
              <w:bottom w:w="65" w:type="dxa"/>
              <w:end w:w="75" w:type="dxa"/>
            </w:tcMar>
          </w:tcPr>
          <w:p>
            <w:r>
              <w:rPr>
                <w:rFonts w:ascii="Arial" w:hAnsi="Arial"/>
                <w:b w:val="0"/>
                <w:color w:val="404040"/>
                <w:sz w:val="16"/>
              </w:rPr>
              <w:t>Education &amp; Skills | Risk Prediction / Early Identification; Methodological / Infrastructure Research (preferred two-purpose reading) | Equity No; COVID No</w:t>
            </w:r>
          </w:p>
        </w:tc>
        <w:tc>
          <w:tcPr>
            <w:tcW w:type="dxa" w:w="2721"/>
            <w:tcMar>
              <w:top w:w="65" w:type="dxa"/>
              <w:start w:w="75" w:type="dxa"/>
              <w:bottom w:w="65" w:type="dxa"/>
              <w:end w:w="75" w:type="dxa"/>
            </w:tcMar>
          </w:tcPr>
          <w:p>
            <w:r>
              <w:rPr>
                <w:rFonts w:ascii="Arial" w:hAnsi="Arial"/>
                <w:b w:val="0"/>
                <w:color w:val="404040"/>
                <w:sz w:val="16"/>
              </w:rPr>
              <w:t>Settled core with a second-purpose boundary</w:t>
            </w:r>
          </w:p>
        </w:tc>
      </w:tr>
      <w:tr>
        <w:trPr>
          <w:cantSplit/>
          <w:cantSplit/>
        </w:trPr>
        <w:tc>
          <w:tcPr>
            <w:tcW w:type="dxa" w:w="624"/>
            <w:tcMar>
              <w:top w:w="65" w:type="dxa"/>
              <w:start w:w="75" w:type="dxa"/>
              <w:bottom w:w="65" w:type="dxa"/>
              <w:end w:w="75" w:type="dxa"/>
            </w:tcMar>
            <w:shd w:fill="F2F2F2"/>
          </w:tcPr>
          <w:p>
            <w:r>
              <w:rPr>
                <w:rFonts w:ascii="Arial" w:hAnsi="Arial"/>
                <w:b/>
                <w:color w:val="404040"/>
                <w:sz w:val="16"/>
              </w:rPr>
              <w:t>10</w:t>
            </w:r>
          </w:p>
        </w:tc>
        <w:tc>
          <w:tcPr>
            <w:tcW w:type="dxa" w:w="1247"/>
            <w:tcMar>
              <w:top w:w="65" w:type="dxa"/>
              <w:start w:w="75" w:type="dxa"/>
              <w:bottom w:w="65" w:type="dxa"/>
              <w:end w:w="75" w:type="dxa"/>
            </w:tcMar>
            <w:shd w:fill="F2F2F2"/>
          </w:tcPr>
          <w:p>
            <w:r>
              <w:rPr>
                <w:rFonts w:ascii="Arial" w:hAnsi="Arial"/>
                <w:b/>
                <w:color w:val="404040"/>
                <w:sz w:val="16"/>
              </w:rPr>
              <w:t>2025/027</w:t>
            </w:r>
          </w:p>
        </w:tc>
        <w:tc>
          <w:tcPr>
            <w:tcW w:type="dxa" w:w="4819"/>
            <w:tcMar>
              <w:top w:w="65" w:type="dxa"/>
              <w:start w:w="75" w:type="dxa"/>
              <w:bottom w:w="65" w:type="dxa"/>
              <w:end w:w="75" w:type="dxa"/>
            </w:tcMar>
            <w:shd w:fill="F2F2F2"/>
          </w:tcPr>
          <w:p>
            <w:r>
              <w:rPr>
                <w:rFonts w:ascii="Arial" w:hAnsi="Arial"/>
                <w:b w:val="0"/>
                <w:color w:val="404040"/>
                <w:sz w:val="16"/>
              </w:rPr>
              <w:t>Migration &amp; Demographics | Descriptive Monitoring | Equity No; COVID No</w:t>
            </w:r>
          </w:p>
        </w:tc>
        <w:tc>
          <w:tcPr>
            <w:tcW w:type="dxa" w:w="2721"/>
            <w:tcMar>
              <w:top w:w="65" w:type="dxa"/>
              <w:start w:w="75" w:type="dxa"/>
              <w:bottom w:w="65" w:type="dxa"/>
              <w:end w:w="75" w:type="dxa"/>
            </w:tcMar>
            <w:shd w:fill="F2F2F2"/>
          </w:tcPr>
          <w:p>
            <w:r>
              <w:rPr>
                <w:rFonts w:ascii="Arial" w:hAnsi="Arial"/>
                <w:b w:val="0"/>
                <w:color w:val="404040"/>
                <w:sz w:val="16"/>
              </w:rPr>
              <w:t>Settled instructor reading</w:t>
            </w:r>
          </w:p>
        </w:tc>
      </w:tr>
    </w:tbl>
    <w:p>
      <w:r>
        <w:br w:type="page"/>
      </w:r>
    </w:p>
    <w:p>
      <w:pPr>
        <w:pStyle w:val="Heading1"/>
        <w:spacing w:before="0" w:after="100" w:line="252" w:lineRule="auto"/>
      </w:pPr>
      <w:r>
        <w:rPr>
          <w:rFonts w:ascii="Arial" w:hAnsi="Arial"/>
          <w:b/>
          <w:color w:val="1F4E78"/>
          <w:sz w:val="30"/>
        </w:rPr>
        <w:t>Detailed pilot-by-pilot reference</w:t>
      </w:r>
    </w:p>
    <w:p>
      <w:pPr>
        <w:pStyle w:val="Heading2"/>
        <w:keepNext/>
        <w:spacing w:before="60" w:after="40" w:line="252" w:lineRule="auto"/>
      </w:pPr>
      <w:r>
        <w:rPr>
          <w:rFonts w:ascii="Arial" w:hAnsi="Arial"/>
          <w:b/>
          <w:color w:val="1F4E78"/>
          <w:sz w:val="25"/>
        </w:rPr>
        <w:t>Pilot 1: 2019/015</w:t>
      </w:r>
    </w:p>
    <w:p>
      <w:pPr>
        <w:spacing w:before="0" w:after="40" w:line="252" w:lineRule="auto"/>
      </w:pPr>
      <w:r>
        <w:rPr>
          <w:rFonts w:ascii="Arial" w:hAnsi="Arial"/>
          <w:b/>
          <w:color w:val="404040"/>
          <w:sz w:val="20"/>
        </w:rPr>
        <w:t xml:space="preserve">Project title: </w:t>
      </w:r>
      <w:r>
        <w:rPr>
          <w:rFonts w:ascii="Arial" w:hAnsi="Arial"/>
          <w:color w:val="404040"/>
          <w:sz w:val="20"/>
        </w:rPr>
        <w:t>Understanding saving behaviour in the UK</w:t>
      </w:r>
    </w:p>
    <w:p>
      <w:pPr>
        <w:spacing w:before="0" w:after="80" w:line="252" w:lineRule="auto"/>
      </w:pPr>
      <w:r>
        <w:rPr>
          <w:rFonts w:ascii="Arial" w:hAnsi="Arial"/>
          <w:b/>
          <w:color w:val="404040"/>
          <w:sz w:val="20"/>
        </w:rPr>
        <w:t xml:space="preserve">Datasets used: </w:t>
      </w:r>
      <w:r>
        <w:rPr>
          <w:rFonts w:ascii="Arial" w:hAnsi="Arial"/>
          <w:color w:val="404040"/>
          <w:sz w:val="20"/>
        </w:rPr>
        <w:t>Office for National Statistics: Wealth and Assets Survey &amp; Annual Survey of Hours and Earnings</w:t>
      </w:r>
    </w:p>
    <w:tbl>
      <w:tblPr>
        <w:tblW w:type="auto" w:w="0"/>
        <w:jc w:val="center"/>
        <w:tblLayout w:type="fixed"/>
        <w:tblLook w:firstColumn="1" w:firstRow="1" w:lastColumn="0" w:lastRow="0" w:noHBand="0" w:noVBand="1" w:val="04A0"/>
      </w:tblPr>
      <w:tblGrid>
        <w:gridCol w:w="9524"/>
      </w:tblGrid>
      <w:tr>
        <w:trPr>
          <w:cantSplit/>
        </w:trPr>
        <w:tc>
          <w:tcPr>
            <w:tcW w:type="dxa" w:w="10200"/>
            <w:shd w:fill="D9EAF7"/>
            <w:tcMar>
              <w:top w:w="70" w:type="dxa"/>
              <w:start w:w="100" w:type="dxa"/>
              <w:bottom w:w="70" w:type="dxa"/>
              <w:end w:w="100" w:type="dxa"/>
            </w:tcMar>
            <w:tcBorders>
              <w:bottom w:val="single" w:sz="4" w:color="B7B7B7"/>
            </w:tcBorders>
          </w:tcPr>
          <w:p>
            <w:r>
              <w:rPr>
                <w:rFonts w:ascii="Arial" w:hAnsi="Arial"/>
                <w:b/>
                <w:color w:val="404040"/>
                <w:sz w:val="19"/>
              </w:rPr>
              <w:t>Settled instructor reading</w:t>
            </w:r>
          </w:p>
        </w:tc>
      </w:tr>
    </w:tbl>
    <w:tbl>
      <w:tblPr>
        <w:tblW w:type="auto" w:w="0"/>
        <w:jc w:val="center"/>
        <w:tblLayout w:type="fixed"/>
        <w:tblLook w:firstColumn="1" w:firstRow="1" w:lastColumn="0" w:lastRow="0" w:noHBand="0" w:noVBand="1" w:val="04A0"/>
      </w:tblPr>
      <w:tblGrid>
        <w:gridCol w:w="2353"/>
        <w:gridCol w:w="7172"/>
      </w:tblGrid>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Research Domain(s)</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Poverty, Wealth &amp; Living Standards</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Analytical Purpose(s)</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Descriptive Monitoring</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Demographic disparities / equity</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No</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COVID-19 / pandemic</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No</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Register sufficiency</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Sufficient</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Taxonomy fit</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Fit</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Confidence</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High</w:t>
            </w:r>
          </w:p>
        </w:tc>
      </w:tr>
    </w:tbl>
    <w:p>
      <w:pPr>
        <w:spacing w:before="100" w:after="40" w:line="252" w:lineRule="auto"/>
      </w:pPr>
      <w:r>
        <w:rPr>
          <w:rFonts w:ascii="Arial" w:hAnsi="Arial"/>
          <w:b/>
          <w:color w:val="1F4E78"/>
          <w:sz w:val="21"/>
        </w:rPr>
        <w:t>Rationale by field</w:t>
      </w:r>
    </w:p>
    <w:p>
      <w:pPr>
        <w:spacing w:before="0" w:after="40" w:line="252" w:lineRule="auto"/>
      </w:pPr>
      <w:r>
        <w:rPr>
          <w:rFonts w:ascii="Arial" w:hAnsi="Arial"/>
          <w:b/>
          <w:color w:val="404040"/>
          <w:sz w:val="20"/>
        </w:rPr>
        <w:t xml:space="preserve">Research Domain(s): </w:t>
      </w:r>
      <w:r>
        <w:rPr>
          <w:rFonts w:ascii="Arial" w:hAnsi="Arial"/>
          <w:color w:val="404040"/>
          <w:sz w:val="20"/>
        </w:rPr>
        <w:t>The research object is saving behaviour and household financial resources. The Wealth and Assets Survey directly supports that reading. The presence of the Annual Survey of Hours and Earnings does not make employment or earnings the substantive object.</w:t>
      </w:r>
    </w:p>
    <w:p>
      <w:pPr>
        <w:spacing w:before="0" w:after="40" w:line="252" w:lineRule="auto"/>
      </w:pPr>
      <w:r>
        <w:rPr>
          <w:rFonts w:ascii="Arial" w:hAnsi="Arial"/>
          <w:b/>
          <w:color w:val="404040"/>
          <w:sz w:val="20"/>
        </w:rPr>
        <w:t xml:space="preserve">Analytical Purpose(s): </w:t>
      </w:r>
      <w:r>
        <w:rPr>
          <w:rFonts w:ascii="Arial" w:hAnsi="Arial"/>
          <w:color w:val="404040"/>
          <w:sz w:val="20"/>
        </w:rPr>
        <w:t>“Understanding saving behaviour” supports characterising patterns, levels or profiles of saving. The title does not name a causal exposure, downstream outcome, intervention, trajectory, system pathway or prospective prediction.</w:t>
      </w:r>
    </w:p>
    <w:p>
      <w:pPr>
        <w:spacing w:before="0" w:after="40" w:line="252" w:lineRule="auto"/>
      </w:pPr>
      <w:r>
        <w:rPr>
          <w:rFonts w:ascii="Arial" w:hAnsi="Arial"/>
          <w:b/>
          <w:color w:val="404040"/>
          <w:sz w:val="20"/>
        </w:rPr>
        <w:t xml:space="preserve">Tags: </w:t>
      </w:r>
      <w:r>
        <w:rPr>
          <w:rFonts w:ascii="Arial" w:hAnsi="Arial"/>
          <w:color w:val="404040"/>
          <w:sz w:val="20"/>
        </w:rPr>
        <w:t>No demographic or equality-group comparison is stated, and the project has no pandemic framing.</w:t>
      </w:r>
    </w:p>
    <w:p>
      <w:pPr>
        <w:spacing w:before="0" w:after="60" w:line="252" w:lineRule="auto"/>
      </w:pPr>
      <w:r>
        <w:rPr>
          <w:rFonts w:ascii="Arial" w:hAnsi="Arial"/>
          <w:b/>
          <w:color w:val="404040"/>
          <w:sz w:val="20"/>
        </w:rPr>
        <w:t xml:space="preserve">Sufficiency, taxonomy fit and confidence: </w:t>
      </w:r>
      <w:r>
        <w:rPr>
          <w:rFonts w:ascii="Arial" w:hAnsi="Arial"/>
          <w:color w:val="404040"/>
          <w:sz w:val="20"/>
        </w:rPr>
        <w:t>The title clearly identifies the substantive object and the dataset field is compatible with it. The taxonomy contains an adequate domain and purpose, leaving little residual ambiguity.</w:t>
      </w:r>
    </w:p>
    <w:tbl>
      <w:tblPr>
        <w:tblW w:type="auto" w:w="0"/>
        <w:jc w:val="center"/>
        <w:tblLayout w:type="fixed"/>
        <w:tblLook w:firstColumn="1" w:firstRow="1" w:lastColumn="0" w:lastRow="0" w:noHBand="0" w:noVBand="1" w:val="04A0"/>
      </w:tblPr>
      <w:tblGrid>
        <w:gridCol w:w="2098"/>
        <w:gridCol w:w="7427"/>
      </w:tblGrid>
      <w:tr>
        <w:trPr>
          <w:cantSplit/>
          <w:cantSplit/>
        </w:trPr>
        <w:tc>
          <w:tcPr>
            <w:tcW w:type="dxa" w:w="5100"/>
            <w:shd w:fill="FFF2CC"/>
            <w:tcMar>
              <w:top w:w="70" w:type="dxa"/>
              <w:start w:w="85" w:type="dxa"/>
              <w:bottom w:w="70" w:type="dxa"/>
              <w:end w:w="85" w:type="dxa"/>
            </w:tcMar>
            <w:tcBorders>
              <w:bottom w:val="single" w:sz="3" w:color="D9D9D9"/>
            </w:tcBorders>
          </w:tcPr>
          <w:p>
            <w:r>
              <w:rPr>
                <w:rFonts w:ascii="Arial" w:hAnsi="Arial"/>
                <w:b/>
                <w:color w:val="404040"/>
                <w:sz w:val="17"/>
              </w:rPr>
              <w:t>Boundary / watch for</w:t>
            </w:r>
          </w:p>
        </w:tc>
        <w:tc>
          <w:tcPr>
            <w:tcW w:type="dxa" w:w="5100"/>
            <w:shd w:fill="FFFDF5"/>
            <w:tcMar>
              <w:top w:w="70" w:type="dxa"/>
              <w:start w:w="85" w:type="dxa"/>
              <w:bottom w:w="70" w:type="dxa"/>
              <w:end w:w="85" w:type="dxa"/>
            </w:tcMar>
            <w:tcBorders>
              <w:bottom w:val="single" w:sz="3" w:color="D9D9D9"/>
            </w:tcBorders>
          </w:tcPr>
          <w:p>
            <w:r>
              <w:rPr>
                <w:rFonts w:ascii="Arial" w:hAnsi="Arial"/>
                <w:color w:val="404040"/>
                <w:sz w:val="17"/>
              </w:rPr>
              <w:t>Watch for over-assigning Labour Market &amp; Employment merely because ASHE appears in the dataset field.</w:t>
            </w:r>
          </w:p>
        </w:tc>
      </w:tr>
      <w:tr>
        <w:trPr>
          <w:cantSplit/>
          <w:cantSplit/>
        </w:trPr>
        <w:tc>
          <w:tcPr>
            <w:tcW w:type="dxa" w:w="5100"/>
            <w:shd w:fill="EFF6FB"/>
            <w:tcMar>
              <w:top w:w="70" w:type="dxa"/>
              <w:start w:w="85" w:type="dxa"/>
              <w:bottom w:w="70" w:type="dxa"/>
              <w:end w:w="85" w:type="dxa"/>
            </w:tcMar>
            <w:tcBorders>
              <w:bottom w:val="single" w:sz="3" w:color="D9D9D9"/>
            </w:tcBorders>
          </w:tcPr>
          <w:p>
            <w:r>
              <w:rPr>
                <w:rFonts w:ascii="Arial" w:hAnsi="Arial"/>
                <w:b/>
                <w:color w:val="404040"/>
                <w:sz w:val="17"/>
              </w:rPr>
              <w:t>Instrument feature tested</w:t>
            </w:r>
          </w:p>
        </w:tc>
        <w:tc>
          <w:tcPr>
            <w:tcW w:type="dxa" w:w="5100"/>
            <w:shd w:fill="F7FBFE"/>
            <w:tcMar>
              <w:top w:w="70" w:type="dxa"/>
              <w:start w:w="85" w:type="dxa"/>
              <w:bottom w:w="70" w:type="dxa"/>
              <w:end w:w="85" w:type="dxa"/>
            </w:tcMar>
            <w:tcBorders>
              <w:bottom w:val="single" w:sz="3" w:color="D9D9D9"/>
            </w:tcBorders>
          </w:tcPr>
          <w:p>
            <w:r>
              <w:rPr>
                <w:rFonts w:ascii="Arial" w:hAnsi="Arial"/>
                <w:color w:val="404040"/>
                <w:sz w:val="17"/>
              </w:rPr>
              <w:t>Ordinary form completion and the evidence-not-dataset rule.</w:t>
            </w:r>
          </w:p>
        </w:tc>
      </w:tr>
    </w:tbl>
    <w:p>
      <w:pPr>
        <w:spacing w:before="0" w:after="40" w:line="252" w:lineRule="auto"/>
      </w:pPr>
    </w:p>
    <w:p>
      <w:r>
        <w:br w:type="page"/>
      </w:r>
    </w:p>
    <w:p>
      <w:pPr>
        <w:pStyle w:val="Heading2"/>
        <w:keepNext/>
        <w:spacing w:before="60" w:after="40" w:line="252" w:lineRule="auto"/>
      </w:pPr>
      <w:r>
        <w:rPr>
          <w:rFonts w:ascii="Arial" w:hAnsi="Arial"/>
          <w:b/>
          <w:color w:val="1F4E78"/>
          <w:sz w:val="25"/>
        </w:rPr>
        <w:t>Pilot 2: 2021/038</w:t>
      </w:r>
    </w:p>
    <w:p>
      <w:pPr>
        <w:spacing w:before="0" w:after="40" w:line="252" w:lineRule="auto"/>
      </w:pPr>
      <w:r>
        <w:rPr>
          <w:rFonts w:ascii="Arial" w:hAnsi="Arial"/>
          <w:b/>
          <w:color w:val="404040"/>
          <w:sz w:val="20"/>
        </w:rPr>
        <w:t xml:space="preserve">Project title: </w:t>
      </w:r>
      <w:r>
        <w:rPr>
          <w:rFonts w:ascii="Arial" w:hAnsi="Arial"/>
          <w:color w:val="404040"/>
          <w:sz w:val="20"/>
        </w:rPr>
        <w:t>Using linked Magistrates and Crown Court data to explore defendant appearance over time: specialisation, escalation or de-escalation?</w:t>
      </w:r>
    </w:p>
    <w:p>
      <w:pPr>
        <w:spacing w:before="0" w:after="80" w:line="252" w:lineRule="auto"/>
      </w:pPr>
      <w:r>
        <w:rPr>
          <w:rFonts w:ascii="Arial" w:hAnsi="Arial"/>
          <w:b/>
          <w:color w:val="404040"/>
          <w:sz w:val="20"/>
        </w:rPr>
        <w:t xml:space="preserve">Datasets used: </w:t>
      </w:r>
      <w:r>
        <w:rPr>
          <w:rFonts w:ascii="Arial" w:hAnsi="Arial"/>
          <w:color w:val="404040"/>
          <w:sz w:val="20"/>
        </w:rPr>
        <w:t>Ministry of Justice: MoJ Data First Crown court defendant case level dataset, MoJ Data First Linked Criminal Courts defendant case level dataset &amp; MoJ Data First magistrates' court defendant case level dataset</w:t>
      </w:r>
    </w:p>
    <w:tbl>
      <w:tblPr>
        <w:tblW w:type="auto" w:w="0"/>
        <w:jc w:val="center"/>
        <w:tblLayout w:type="fixed"/>
        <w:tblLook w:firstColumn="1" w:firstRow="1" w:lastColumn="0" w:lastRow="0" w:noHBand="0" w:noVBand="1" w:val="04A0"/>
      </w:tblPr>
      <w:tblGrid>
        <w:gridCol w:w="9524"/>
      </w:tblGrid>
      <w:tr>
        <w:trPr>
          <w:cantSplit/>
        </w:trPr>
        <w:tc>
          <w:tcPr>
            <w:tcW w:type="dxa" w:w="10200"/>
            <w:shd w:fill="D9EAF7"/>
            <w:tcMar>
              <w:top w:w="70" w:type="dxa"/>
              <w:start w:w="100" w:type="dxa"/>
              <w:bottom w:w="70" w:type="dxa"/>
              <w:end w:w="100" w:type="dxa"/>
            </w:tcMar>
            <w:tcBorders>
              <w:bottom w:val="single" w:sz="4" w:color="B7B7B7"/>
            </w:tcBorders>
          </w:tcPr>
          <w:p>
            <w:r>
              <w:rPr>
                <w:rFonts w:ascii="Arial" w:hAnsi="Arial"/>
                <w:b/>
                <w:color w:val="404040"/>
                <w:sz w:val="19"/>
              </w:rPr>
              <w:t>Settled instructor reading</w:t>
            </w:r>
          </w:p>
        </w:tc>
      </w:tr>
    </w:tbl>
    <w:tbl>
      <w:tblPr>
        <w:tblW w:type="auto" w:w="0"/>
        <w:jc w:val="center"/>
        <w:tblLayout w:type="fixed"/>
        <w:tblLook w:firstColumn="1" w:firstRow="1" w:lastColumn="0" w:lastRow="0" w:noHBand="0" w:noVBand="1" w:val="04A0"/>
      </w:tblPr>
      <w:tblGrid>
        <w:gridCol w:w="2353"/>
        <w:gridCol w:w="7172"/>
      </w:tblGrid>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Research Domain(s)</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Crime &amp; Justice</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Analytical Purpose(s)</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Life-Course / Trajectory Analysis; Service Interaction / Systems Analysis</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Demographic disparities / equity</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No</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COVID-19 / pandemic</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No</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Register sufficiency</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Sufficient</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Taxonomy fit</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Fit</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Confidence</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High</w:t>
            </w:r>
          </w:p>
        </w:tc>
      </w:tr>
    </w:tbl>
    <w:p>
      <w:pPr>
        <w:spacing w:before="100" w:after="40" w:line="252" w:lineRule="auto"/>
      </w:pPr>
      <w:r>
        <w:rPr>
          <w:rFonts w:ascii="Arial" w:hAnsi="Arial"/>
          <w:b/>
          <w:color w:val="1F4E78"/>
          <w:sz w:val="21"/>
        </w:rPr>
        <w:t>Rationale by field</w:t>
      </w:r>
    </w:p>
    <w:p>
      <w:pPr>
        <w:spacing w:before="0" w:after="40" w:line="252" w:lineRule="auto"/>
      </w:pPr>
      <w:r>
        <w:rPr>
          <w:rFonts w:ascii="Arial" w:hAnsi="Arial"/>
          <w:b/>
          <w:color w:val="404040"/>
          <w:sz w:val="20"/>
        </w:rPr>
        <w:t xml:space="preserve">Research Domain(s): </w:t>
      </w:r>
      <w:r>
        <w:rPr>
          <w:rFonts w:ascii="Arial" w:hAnsi="Arial"/>
          <w:color w:val="404040"/>
          <w:sz w:val="20"/>
        </w:rPr>
        <w:t>The project explicitly concerns defendants and linked Magistrates’ and Crown Court records. Courts, defendants and case progression place the project squarely within Crime &amp; Justice.</w:t>
      </w:r>
    </w:p>
    <w:p>
      <w:pPr>
        <w:spacing w:before="0" w:after="40" w:line="252" w:lineRule="auto"/>
      </w:pPr>
      <w:r>
        <w:rPr>
          <w:rFonts w:ascii="Arial" w:hAnsi="Arial"/>
          <w:b/>
          <w:color w:val="404040"/>
          <w:sz w:val="20"/>
        </w:rPr>
        <w:t xml:space="preserve">Analytical Purpose(s): </w:t>
      </w:r>
      <w:r>
        <w:rPr>
          <w:rFonts w:ascii="Arial" w:hAnsi="Arial"/>
          <w:color w:val="404040"/>
          <w:sz w:val="20"/>
        </w:rPr>
        <w:t>“Over time” together with specialisation, escalation and de-escalation makes change in defendant histories central, supporting Life-Course / Trajectory Analysis. Movement and repeated appearance through Magistrates’ and Crown Courts also makes processing through the justice system central, supporting Service Interaction / Systems Analysis. Both operations are substantive, so two purposes are justified.</w:t>
      </w:r>
    </w:p>
    <w:p>
      <w:pPr>
        <w:spacing w:before="0" w:after="40" w:line="252" w:lineRule="auto"/>
      </w:pPr>
      <w:r>
        <w:rPr>
          <w:rFonts w:ascii="Arial" w:hAnsi="Arial"/>
          <w:b/>
          <w:color w:val="404040"/>
          <w:sz w:val="20"/>
        </w:rPr>
        <w:t xml:space="preserve">Tags: </w:t>
      </w:r>
      <w:r>
        <w:rPr>
          <w:rFonts w:ascii="Arial" w:hAnsi="Arial"/>
          <w:color w:val="404040"/>
          <w:sz w:val="20"/>
        </w:rPr>
        <w:t>No demographic disparity or pandemic condition is stated as a central lens.</w:t>
      </w:r>
    </w:p>
    <w:p>
      <w:pPr>
        <w:spacing w:before="0" w:after="60" w:line="252" w:lineRule="auto"/>
      </w:pPr>
      <w:r>
        <w:rPr>
          <w:rFonts w:ascii="Arial" w:hAnsi="Arial"/>
          <w:b/>
          <w:color w:val="404040"/>
          <w:sz w:val="20"/>
        </w:rPr>
        <w:t xml:space="preserve">Sufficiency, taxonomy fit and confidence: </w:t>
      </w:r>
      <w:r>
        <w:rPr>
          <w:rFonts w:ascii="Arial" w:hAnsi="Arial"/>
          <w:color w:val="404040"/>
          <w:sz w:val="20"/>
        </w:rPr>
        <w:t>The title and dataset field jointly identify the object and both analytical operations. The two-purpose reading is strongly supported rather than merely imaginable.</w:t>
      </w:r>
    </w:p>
    <w:tbl>
      <w:tblPr>
        <w:tblW w:type="auto" w:w="0"/>
        <w:jc w:val="center"/>
        <w:tblLayout w:type="fixed"/>
        <w:tblLook w:firstColumn="1" w:firstRow="1" w:lastColumn="0" w:lastRow="0" w:noHBand="0" w:noVBand="1" w:val="04A0"/>
      </w:tblPr>
      <w:tblGrid>
        <w:gridCol w:w="2098"/>
        <w:gridCol w:w="7427"/>
      </w:tblGrid>
      <w:tr>
        <w:trPr>
          <w:cantSplit/>
          <w:cantSplit/>
        </w:trPr>
        <w:tc>
          <w:tcPr>
            <w:tcW w:type="dxa" w:w="5100"/>
            <w:shd w:fill="FFF2CC"/>
            <w:tcMar>
              <w:top w:w="70" w:type="dxa"/>
              <w:start w:w="85" w:type="dxa"/>
              <w:bottom w:w="70" w:type="dxa"/>
              <w:end w:w="85" w:type="dxa"/>
            </w:tcMar>
            <w:tcBorders>
              <w:bottom w:val="single" w:sz="3" w:color="D9D9D9"/>
            </w:tcBorders>
          </w:tcPr>
          <w:p>
            <w:r>
              <w:rPr>
                <w:rFonts w:ascii="Arial" w:hAnsi="Arial"/>
                <w:b/>
                <w:color w:val="404040"/>
                <w:sz w:val="17"/>
              </w:rPr>
              <w:t>Boundary / watch for</w:t>
            </w:r>
          </w:p>
        </w:tc>
        <w:tc>
          <w:tcPr>
            <w:tcW w:type="dxa" w:w="5100"/>
            <w:shd w:fill="FFFDF5"/>
            <w:tcMar>
              <w:top w:w="70" w:type="dxa"/>
              <w:start w:w="85" w:type="dxa"/>
              <w:bottom w:w="70" w:type="dxa"/>
              <w:end w:w="85" w:type="dxa"/>
            </w:tcMar>
            <w:tcBorders>
              <w:bottom w:val="single" w:sz="3" w:color="D9D9D9"/>
            </w:tcBorders>
          </w:tcPr>
          <w:p>
            <w:r>
              <w:rPr>
                <w:rFonts w:ascii="Arial" w:hAnsi="Arial"/>
                <w:color w:val="404040"/>
                <w:sz w:val="17"/>
              </w:rPr>
              <w:t>Do not add Outcome Tracking simply because outcomes or change over time may be measured; the title centres trajectories and movement through court systems.</w:t>
            </w:r>
          </w:p>
        </w:tc>
      </w:tr>
      <w:tr>
        <w:trPr>
          <w:cantSplit/>
          <w:cantSplit/>
        </w:trPr>
        <w:tc>
          <w:tcPr>
            <w:tcW w:type="dxa" w:w="5100"/>
            <w:shd w:fill="EFF6FB"/>
            <w:tcMar>
              <w:top w:w="70" w:type="dxa"/>
              <w:start w:w="85" w:type="dxa"/>
              <w:bottom w:w="70" w:type="dxa"/>
              <w:end w:w="85" w:type="dxa"/>
            </w:tcMar>
            <w:tcBorders>
              <w:bottom w:val="single" w:sz="3" w:color="D9D9D9"/>
            </w:tcBorders>
          </w:tcPr>
          <w:p>
            <w:r>
              <w:rPr>
                <w:rFonts w:ascii="Arial" w:hAnsi="Arial"/>
                <w:b/>
                <w:color w:val="404040"/>
                <w:sz w:val="17"/>
              </w:rPr>
              <w:t>Instrument feature tested</w:t>
            </w:r>
          </w:p>
        </w:tc>
        <w:tc>
          <w:tcPr>
            <w:tcW w:type="dxa" w:w="5100"/>
            <w:shd w:fill="F7FBFE"/>
            <w:tcMar>
              <w:top w:w="70" w:type="dxa"/>
              <w:start w:w="85" w:type="dxa"/>
              <w:bottom w:w="70" w:type="dxa"/>
              <w:end w:w="85" w:type="dxa"/>
            </w:tcMar>
            <w:tcBorders>
              <w:bottom w:val="single" w:sz="3" w:color="D9D9D9"/>
            </w:tcBorders>
          </w:tcPr>
          <w:p>
            <w:r>
              <w:rPr>
                <w:rFonts w:ascii="Arial" w:hAnsi="Arial"/>
                <w:color w:val="404040"/>
                <w:sz w:val="17"/>
              </w:rPr>
              <w:t>The maximum-two-purpose rule and justification of two genuinely central operations.</w:t>
            </w:r>
          </w:p>
        </w:tc>
      </w:tr>
    </w:tbl>
    <w:p>
      <w:pPr>
        <w:spacing w:before="0" w:after="40" w:line="252" w:lineRule="auto"/>
      </w:pPr>
    </w:p>
    <w:p>
      <w:r>
        <w:br w:type="page"/>
      </w:r>
    </w:p>
    <w:p>
      <w:pPr>
        <w:pStyle w:val="Heading2"/>
        <w:keepNext/>
        <w:spacing w:before="60" w:after="40" w:line="252" w:lineRule="auto"/>
      </w:pPr>
      <w:r>
        <w:rPr>
          <w:rFonts w:ascii="Arial" w:hAnsi="Arial"/>
          <w:b/>
          <w:color w:val="1F4E78"/>
          <w:sz w:val="25"/>
        </w:rPr>
        <w:t>Pilot 3: 2021/063</w:t>
      </w:r>
    </w:p>
    <w:p>
      <w:pPr>
        <w:spacing w:before="0" w:after="40" w:line="252" w:lineRule="auto"/>
      </w:pPr>
      <w:r>
        <w:rPr>
          <w:rFonts w:ascii="Arial" w:hAnsi="Arial"/>
          <w:b/>
          <w:color w:val="404040"/>
          <w:sz w:val="20"/>
        </w:rPr>
        <w:t xml:space="preserve">Project title: </w:t>
      </w:r>
      <w:r>
        <w:rPr>
          <w:rFonts w:ascii="Arial" w:hAnsi="Arial"/>
          <w:color w:val="404040"/>
          <w:sz w:val="20"/>
        </w:rPr>
        <w:t>Gender Pay Gap</w:t>
      </w:r>
    </w:p>
    <w:p>
      <w:pPr>
        <w:spacing w:before="0" w:after="80" w:line="252" w:lineRule="auto"/>
      </w:pPr>
      <w:r>
        <w:rPr>
          <w:rFonts w:ascii="Arial" w:hAnsi="Arial"/>
          <w:b/>
          <w:color w:val="404040"/>
          <w:sz w:val="20"/>
        </w:rPr>
        <w:t xml:space="preserve">Datasets used: </w:t>
      </w:r>
      <w:r>
        <w:rPr>
          <w:rFonts w:ascii="Arial" w:hAnsi="Arial"/>
          <w:color w:val="404040"/>
          <w:sz w:val="20"/>
        </w:rPr>
        <w:t>Office for National Statistics: Annual Survey of Hours and Earnings, Business Structure Database &amp; Annual Business Survey</w:t>
      </w:r>
    </w:p>
    <w:tbl>
      <w:tblPr>
        <w:tblW w:type="auto" w:w="0"/>
        <w:jc w:val="center"/>
        <w:tblLayout w:type="fixed"/>
        <w:tblLook w:firstColumn="1" w:firstRow="1" w:lastColumn="0" w:lastRow="0" w:noHBand="0" w:noVBand="1" w:val="04A0"/>
      </w:tblPr>
      <w:tblGrid>
        <w:gridCol w:w="9524"/>
      </w:tblGrid>
      <w:tr>
        <w:trPr>
          <w:cantSplit/>
        </w:trPr>
        <w:tc>
          <w:tcPr>
            <w:tcW w:type="dxa" w:w="10200"/>
            <w:shd w:fill="D9EAF7"/>
            <w:tcMar>
              <w:top w:w="70" w:type="dxa"/>
              <w:start w:w="100" w:type="dxa"/>
              <w:bottom w:w="70" w:type="dxa"/>
              <w:end w:w="100" w:type="dxa"/>
            </w:tcMar>
            <w:tcBorders>
              <w:bottom w:val="single" w:sz="4" w:color="B7B7B7"/>
            </w:tcBorders>
          </w:tcPr>
          <w:p>
            <w:r>
              <w:rPr>
                <w:rFonts w:ascii="Arial" w:hAnsi="Arial"/>
                <w:b/>
                <w:color w:val="404040"/>
                <w:sz w:val="19"/>
              </w:rPr>
              <w:t>Settled instructor reading</w:t>
            </w:r>
          </w:p>
        </w:tc>
      </w:tr>
    </w:tbl>
    <w:tbl>
      <w:tblPr>
        <w:tblW w:type="auto" w:w="0"/>
        <w:jc w:val="center"/>
        <w:tblLayout w:type="fixed"/>
        <w:tblLook w:firstColumn="1" w:firstRow="1" w:lastColumn="0" w:lastRow="0" w:noHBand="0" w:noVBand="1" w:val="04A0"/>
      </w:tblPr>
      <w:tblGrid>
        <w:gridCol w:w="2353"/>
        <w:gridCol w:w="7172"/>
      </w:tblGrid>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Research Domain(s)</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Labour Market &amp; Employment</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Analytical Purpose(s)</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Descriptive Monitoring</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Demographic disparities / equity</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Yes</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COVID-19 / pandemic</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No</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Register sufficiency</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Sufficient</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Taxonomy fit</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Fit</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Confidence</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High</w:t>
            </w:r>
          </w:p>
        </w:tc>
      </w:tr>
    </w:tbl>
    <w:p>
      <w:pPr>
        <w:spacing w:before="100" w:after="40" w:line="252" w:lineRule="auto"/>
      </w:pPr>
      <w:r>
        <w:rPr>
          <w:rFonts w:ascii="Arial" w:hAnsi="Arial"/>
          <w:b/>
          <w:color w:val="1F4E78"/>
          <w:sz w:val="21"/>
        </w:rPr>
        <w:t>Rationale by field</w:t>
      </w:r>
    </w:p>
    <w:p>
      <w:pPr>
        <w:spacing w:before="0" w:after="40" w:line="252" w:lineRule="auto"/>
      </w:pPr>
      <w:r>
        <w:rPr>
          <w:rFonts w:ascii="Arial" w:hAnsi="Arial"/>
          <w:b/>
          <w:color w:val="404040"/>
          <w:sz w:val="20"/>
        </w:rPr>
        <w:t xml:space="preserve">Research Domain(s): </w:t>
      </w:r>
      <w:r>
        <w:rPr>
          <w:rFonts w:ascii="Arial" w:hAnsi="Arial"/>
          <w:color w:val="404040"/>
          <w:sz w:val="20"/>
        </w:rPr>
        <w:t>A gender pay gap is an earnings disparity within the labour market. Business datasets may support the analysis, but firms and productivity are not named as substantive research objects.</w:t>
      </w:r>
    </w:p>
    <w:p>
      <w:pPr>
        <w:spacing w:before="0" w:after="40" w:line="252" w:lineRule="auto"/>
      </w:pPr>
      <w:r>
        <w:rPr>
          <w:rFonts w:ascii="Arial" w:hAnsi="Arial"/>
          <w:b/>
          <w:color w:val="404040"/>
          <w:sz w:val="20"/>
        </w:rPr>
        <w:t xml:space="preserve">Analytical Purpose(s): </w:t>
      </w:r>
      <w:r>
        <w:rPr>
          <w:rFonts w:ascii="Arial" w:hAnsi="Arial"/>
          <w:color w:val="404040"/>
          <w:sz w:val="20"/>
        </w:rPr>
        <w:t>The title indicates measurement or characterisation of a pay differential. It does not name an intervention, exposure-outcome relationship, trajectory, service process or prediction task.</w:t>
      </w:r>
    </w:p>
    <w:p>
      <w:pPr>
        <w:spacing w:before="0" w:after="40" w:line="252" w:lineRule="auto"/>
      </w:pPr>
      <w:r>
        <w:rPr>
          <w:rFonts w:ascii="Arial" w:hAnsi="Arial"/>
          <w:b/>
          <w:color w:val="404040"/>
          <w:sz w:val="20"/>
        </w:rPr>
        <w:t xml:space="preserve">Tags: </w:t>
      </w:r>
      <w:r>
        <w:rPr>
          <w:rFonts w:ascii="Arial" w:hAnsi="Arial"/>
          <w:color w:val="404040"/>
          <w:sz w:val="20"/>
        </w:rPr>
        <w:t>Gender is an explicitly named equality-relevant characteristic and the comparison is the entire research question, so the demographic-disparities/equity tag is Yes. There is no pandemic lens.</w:t>
      </w:r>
    </w:p>
    <w:p>
      <w:pPr>
        <w:spacing w:before="0" w:after="60" w:line="252" w:lineRule="auto"/>
      </w:pPr>
      <w:r>
        <w:rPr>
          <w:rFonts w:ascii="Arial" w:hAnsi="Arial"/>
          <w:b/>
          <w:color w:val="404040"/>
          <w:sz w:val="20"/>
        </w:rPr>
        <w:t xml:space="preserve">Sufficiency, taxonomy fit and confidence: </w:t>
      </w:r>
      <w:r>
        <w:rPr>
          <w:rFonts w:ascii="Arial" w:hAnsi="Arial"/>
          <w:color w:val="404040"/>
          <w:sz w:val="20"/>
        </w:rPr>
        <w:t>The title is highly specific and maps directly to the taxonomy. The dataset field reinforces but is not needed to establish the core classification.</w:t>
      </w:r>
    </w:p>
    <w:tbl>
      <w:tblPr>
        <w:tblW w:type="auto" w:w="0"/>
        <w:jc w:val="center"/>
        <w:tblLayout w:type="fixed"/>
        <w:tblLook w:firstColumn="1" w:firstRow="1" w:lastColumn="0" w:lastRow="0" w:noHBand="0" w:noVBand="1" w:val="04A0"/>
      </w:tblPr>
      <w:tblGrid>
        <w:gridCol w:w="2098"/>
        <w:gridCol w:w="7427"/>
      </w:tblGrid>
      <w:tr>
        <w:trPr>
          <w:cantSplit/>
          <w:cantSplit/>
        </w:trPr>
        <w:tc>
          <w:tcPr>
            <w:tcW w:type="dxa" w:w="5100"/>
            <w:shd w:fill="FFF2CC"/>
            <w:tcMar>
              <w:top w:w="70" w:type="dxa"/>
              <w:start w:w="85" w:type="dxa"/>
              <w:bottom w:w="70" w:type="dxa"/>
              <w:end w:w="85" w:type="dxa"/>
            </w:tcMar>
            <w:tcBorders>
              <w:bottom w:val="single" w:sz="3" w:color="D9D9D9"/>
            </w:tcBorders>
          </w:tcPr>
          <w:p>
            <w:r>
              <w:rPr>
                <w:rFonts w:ascii="Arial" w:hAnsi="Arial"/>
                <w:b/>
                <w:color w:val="404040"/>
                <w:sz w:val="17"/>
              </w:rPr>
              <w:t>Boundary / watch for</w:t>
            </w:r>
          </w:p>
        </w:tc>
        <w:tc>
          <w:tcPr>
            <w:tcW w:type="dxa" w:w="5100"/>
            <w:shd w:fill="FFFDF5"/>
            <w:tcMar>
              <w:top w:w="70" w:type="dxa"/>
              <w:start w:w="85" w:type="dxa"/>
              <w:bottom w:w="70" w:type="dxa"/>
              <w:end w:w="85" w:type="dxa"/>
            </w:tcMar>
            <w:tcBorders>
              <w:bottom w:val="single" w:sz="3" w:color="D9D9D9"/>
            </w:tcBorders>
          </w:tcPr>
          <w:p>
            <w:r>
              <w:rPr>
                <w:rFonts w:ascii="Arial" w:hAnsi="Arial"/>
                <w:color w:val="404040"/>
                <w:sz w:val="17"/>
              </w:rPr>
              <w:t>Do not add Business &amp; Productivity solely because the Business Structure Database and Annual Business Survey are used.</w:t>
            </w:r>
          </w:p>
        </w:tc>
      </w:tr>
      <w:tr>
        <w:trPr>
          <w:cantSplit/>
          <w:cantSplit/>
        </w:trPr>
        <w:tc>
          <w:tcPr>
            <w:tcW w:type="dxa" w:w="5100"/>
            <w:shd w:fill="EFF6FB"/>
            <w:tcMar>
              <w:top w:w="70" w:type="dxa"/>
              <w:start w:w="85" w:type="dxa"/>
              <w:bottom w:w="70" w:type="dxa"/>
              <w:end w:w="85" w:type="dxa"/>
            </w:tcMar>
            <w:tcBorders>
              <w:bottom w:val="single" w:sz="3" w:color="D9D9D9"/>
            </w:tcBorders>
          </w:tcPr>
          <w:p>
            <w:r>
              <w:rPr>
                <w:rFonts w:ascii="Arial" w:hAnsi="Arial"/>
                <w:b/>
                <w:color w:val="404040"/>
                <w:sz w:val="17"/>
              </w:rPr>
              <w:t>Instrument feature tested</w:t>
            </w:r>
          </w:p>
        </w:tc>
        <w:tc>
          <w:tcPr>
            <w:tcW w:type="dxa" w:w="5100"/>
            <w:shd w:fill="F7FBFE"/>
            <w:tcMar>
              <w:top w:w="70" w:type="dxa"/>
              <w:start w:w="85" w:type="dxa"/>
              <w:bottom w:w="70" w:type="dxa"/>
              <w:end w:w="85" w:type="dxa"/>
            </w:tcMar>
            <w:tcBorders>
              <w:bottom w:val="single" w:sz="3" w:color="D9D9D9"/>
            </w:tcBorders>
          </w:tcPr>
          <w:p>
            <w:r>
              <w:rPr>
                <w:rFonts w:ascii="Arial" w:hAnsi="Arial"/>
                <w:color w:val="404040"/>
                <w:sz w:val="17"/>
              </w:rPr>
              <w:t>A clear positive equity-tag branch and resistance to dataset-driven domain assignment.</w:t>
            </w:r>
          </w:p>
        </w:tc>
      </w:tr>
    </w:tbl>
    <w:p>
      <w:pPr>
        <w:spacing w:before="0" w:after="40" w:line="252" w:lineRule="auto"/>
      </w:pPr>
    </w:p>
    <w:p>
      <w:r>
        <w:br w:type="page"/>
      </w:r>
    </w:p>
    <w:p>
      <w:pPr>
        <w:pStyle w:val="Heading2"/>
        <w:keepNext/>
        <w:spacing w:before="60" w:after="40" w:line="252" w:lineRule="auto"/>
      </w:pPr>
      <w:r>
        <w:rPr>
          <w:rFonts w:ascii="Arial" w:hAnsi="Arial"/>
          <w:b/>
          <w:color w:val="1F4E78"/>
          <w:sz w:val="25"/>
        </w:rPr>
        <w:t>Pilot 4: 2021/103</w:t>
      </w:r>
    </w:p>
    <w:p>
      <w:pPr>
        <w:spacing w:before="0" w:after="40" w:line="252" w:lineRule="auto"/>
      </w:pPr>
      <w:r>
        <w:rPr>
          <w:rFonts w:ascii="Arial" w:hAnsi="Arial"/>
          <w:b/>
          <w:color w:val="404040"/>
          <w:sz w:val="20"/>
        </w:rPr>
        <w:t xml:space="preserve">Project title: </w:t>
      </w:r>
      <w:r>
        <w:rPr>
          <w:rFonts w:ascii="Arial" w:hAnsi="Arial"/>
          <w:color w:val="404040"/>
          <w:sz w:val="20"/>
        </w:rPr>
        <w:t>AMPHoRA</w:t>
      </w:r>
    </w:p>
    <w:p>
      <w:pPr>
        <w:spacing w:before="0" w:after="80" w:line="252" w:lineRule="auto"/>
      </w:pPr>
      <w:r>
        <w:rPr>
          <w:rFonts w:ascii="Arial" w:hAnsi="Arial"/>
          <w:b/>
          <w:color w:val="404040"/>
          <w:sz w:val="20"/>
        </w:rPr>
        <w:t xml:space="preserve">Datasets used: </w:t>
      </w:r>
      <w:r>
        <w:rPr>
          <w:rFonts w:ascii="Arial" w:hAnsi="Arial"/>
          <w:color w:val="404040"/>
          <w:sz w:val="20"/>
        </w:rPr>
        <w:t>Office for National Statistics: Living Costs and Food Survey</w:t>
      </w:r>
    </w:p>
    <w:tbl>
      <w:tblPr>
        <w:tblW w:type="auto" w:w="0"/>
        <w:jc w:val="center"/>
        <w:tblLayout w:type="fixed"/>
        <w:tblLook w:firstColumn="1" w:firstRow="1" w:lastColumn="0" w:lastRow="0" w:noHBand="0" w:noVBand="1" w:val="04A0"/>
      </w:tblPr>
      <w:tblGrid>
        <w:gridCol w:w="9524"/>
      </w:tblGrid>
      <w:tr>
        <w:trPr>
          <w:cantSplit/>
        </w:trPr>
        <w:tc>
          <w:tcPr>
            <w:tcW w:type="dxa" w:w="10200"/>
            <w:shd w:fill="D9EAF7"/>
            <w:tcMar>
              <w:top w:w="70" w:type="dxa"/>
              <w:start w:w="100" w:type="dxa"/>
              <w:bottom w:w="70" w:type="dxa"/>
              <w:end w:w="100" w:type="dxa"/>
            </w:tcMar>
            <w:tcBorders>
              <w:bottom w:val="single" w:sz="4" w:color="B7B7B7"/>
            </w:tcBorders>
          </w:tcPr>
          <w:p>
            <w:r>
              <w:rPr>
                <w:rFonts w:ascii="Arial" w:hAnsi="Arial"/>
                <w:b/>
                <w:color w:val="404040"/>
                <w:sz w:val="19"/>
              </w:rPr>
              <w:t>Preferred instructor reading</w:t>
            </w:r>
          </w:p>
        </w:tc>
      </w:tr>
    </w:tbl>
    <w:tbl>
      <w:tblPr>
        <w:tblW w:type="auto" w:w="0"/>
        <w:jc w:val="center"/>
        <w:tblLayout w:type="fixed"/>
        <w:tblLook w:firstColumn="1" w:firstRow="1" w:lastColumn="0" w:lastRow="0" w:noHBand="0" w:noVBand="1" w:val="04A0"/>
      </w:tblPr>
      <w:tblGrid>
        <w:gridCol w:w="2353"/>
        <w:gridCol w:w="7172"/>
      </w:tblGrid>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Research Domain(s)</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Poverty, Wealth &amp; Living Standards</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Analytical Purpose(s)</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Unclear from Register Entry</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Demographic disparities / equity</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No</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COVID-19 / pandemic</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No</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Register sufficiency</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Partial</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Taxonomy fit</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Fit</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Confidence</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Medium</w:t>
            </w:r>
          </w:p>
        </w:tc>
      </w:tr>
    </w:tbl>
    <w:p>
      <w:pPr>
        <w:spacing w:before="100" w:after="40" w:line="252" w:lineRule="auto"/>
      </w:pPr>
      <w:r>
        <w:rPr>
          <w:rFonts w:ascii="Arial" w:hAnsi="Arial"/>
          <w:b/>
          <w:color w:val="1F4E78"/>
          <w:sz w:val="21"/>
        </w:rPr>
        <w:t>Rationale by field</w:t>
      </w:r>
    </w:p>
    <w:p>
      <w:pPr>
        <w:spacing w:before="0" w:after="40" w:line="252" w:lineRule="auto"/>
      </w:pPr>
      <w:r>
        <w:rPr>
          <w:rFonts w:ascii="Arial" w:hAnsi="Arial"/>
          <w:b/>
          <w:color w:val="404040"/>
          <w:sz w:val="20"/>
        </w:rPr>
        <w:t xml:space="preserve">Research Domain(s): </w:t>
      </w:r>
      <w:r>
        <w:rPr>
          <w:rFonts w:ascii="Arial" w:hAnsi="Arial"/>
          <w:color w:val="404040"/>
          <w:sz w:val="20"/>
        </w:rPr>
        <w:t>The acronym title supplies no substantive information. The Living Costs and Food Survey nevertheless provides enough register evidence to support a household living-costs and living-standards domain reading.</w:t>
      </w:r>
    </w:p>
    <w:p>
      <w:pPr>
        <w:spacing w:before="0" w:after="40" w:line="252" w:lineRule="auto"/>
      </w:pPr>
      <w:r>
        <w:rPr>
          <w:rFonts w:ascii="Arial" w:hAnsi="Arial"/>
          <w:b/>
          <w:color w:val="404040"/>
          <w:sz w:val="20"/>
        </w:rPr>
        <w:t xml:space="preserve">Analytical Purpose(s): </w:t>
      </w:r>
      <w:r>
        <w:rPr>
          <w:rFonts w:ascii="Arial" w:hAnsi="Arial"/>
          <w:color w:val="404040"/>
          <w:sz w:val="20"/>
        </w:rPr>
        <w:t>Neither “AMPHoRA” nor the dataset name reveals what the project does analytically. No specific operation can be inferred without outside information, so Unclear from Register Entry is the appropriate purpose.</w:t>
      </w:r>
    </w:p>
    <w:p>
      <w:pPr>
        <w:spacing w:before="0" w:after="40" w:line="252" w:lineRule="auto"/>
      </w:pPr>
      <w:r>
        <w:rPr>
          <w:rFonts w:ascii="Arial" w:hAnsi="Arial"/>
          <w:b/>
          <w:color w:val="404040"/>
          <w:sz w:val="20"/>
        </w:rPr>
        <w:t xml:space="preserve">Tags: </w:t>
      </w:r>
      <w:r>
        <w:rPr>
          <w:rFonts w:ascii="Arial" w:hAnsi="Arial"/>
          <w:color w:val="404040"/>
          <w:sz w:val="20"/>
        </w:rPr>
        <w:t>Nothing in the visible fields identifies a demographic/equality comparison or pandemic focus.</w:t>
      </w:r>
    </w:p>
    <w:p>
      <w:pPr>
        <w:spacing w:before="0" w:after="60" w:line="252" w:lineRule="auto"/>
      </w:pPr>
      <w:r>
        <w:rPr>
          <w:rFonts w:ascii="Arial" w:hAnsi="Arial"/>
          <w:b/>
          <w:color w:val="404040"/>
          <w:sz w:val="20"/>
        </w:rPr>
        <w:t xml:space="preserve">Sufficiency, taxonomy fit and confidence: </w:t>
      </w:r>
      <w:r>
        <w:rPr>
          <w:rFonts w:ascii="Arial" w:hAnsi="Arial"/>
          <w:color w:val="404040"/>
          <w:sz w:val="20"/>
        </w:rPr>
        <w:t>The entry is only partly classifiable: the dataset supports a domain, while the analytical purpose remains unresolved. This is an evidence limitation rather than a taxonomy failure.</w:t>
      </w:r>
    </w:p>
    <w:tbl>
      <w:tblPr>
        <w:tblW w:type="auto" w:w="0"/>
        <w:jc w:val="center"/>
        <w:tblLayout w:type="fixed"/>
        <w:tblLook w:firstColumn="1" w:firstRow="1" w:lastColumn="0" w:lastRow="0" w:noHBand="0" w:noVBand="1" w:val="04A0"/>
      </w:tblPr>
      <w:tblGrid>
        <w:gridCol w:w="2098"/>
        <w:gridCol w:w="7427"/>
      </w:tblGrid>
      <w:tr>
        <w:trPr>
          <w:cantSplit/>
          <w:cantSplit/>
        </w:trPr>
        <w:tc>
          <w:tcPr>
            <w:tcW w:type="dxa" w:w="5100"/>
            <w:shd w:fill="FFF2CC"/>
            <w:tcMar>
              <w:top w:w="70" w:type="dxa"/>
              <w:start w:w="85" w:type="dxa"/>
              <w:bottom w:w="70" w:type="dxa"/>
              <w:end w:w="85" w:type="dxa"/>
            </w:tcMar>
            <w:tcBorders>
              <w:bottom w:val="single" w:sz="3" w:color="D9D9D9"/>
            </w:tcBorders>
          </w:tcPr>
          <w:p>
            <w:r>
              <w:rPr>
                <w:rFonts w:ascii="Arial" w:hAnsi="Arial"/>
                <w:b/>
                <w:color w:val="404040"/>
                <w:sz w:val="17"/>
              </w:rPr>
              <w:t>Boundary / watch for</w:t>
            </w:r>
          </w:p>
        </w:tc>
        <w:tc>
          <w:tcPr>
            <w:tcW w:type="dxa" w:w="5100"/>
            <w:shd w:fill="FFFDF5"/>
            <w:tcMar>
              <w:top w:w="70" w:type="dxa"/>
              <w:start w:w="85" w:type="dxa"/>
              <w:bottom w:w="70" w:type="dxa"/>
              <w:end w:w="85" w:type="dxa"/>
            </w:tcMar>
            <w:tcBorders>
              <w:bottom w:val="single" w:sz="3" w:color="D9D9D9"/>
            </w:tcBorders>
          </w:tcPr>
          <w:p>
            <w:r>
              <w:rPr>
                <w:rFonts w:ascii="Arial" w:hAnsi="Arial"/>
                <w:color w:val="404040"/>
                <w:sz w:val="17"/>
              </w:rPr>
              <w:t>A Low-confidence response is also understandable if a coder is less comfortable using dataset knowledge. Unclear should be applied only to the unresolved purpose, not automatically to both dimensions.</w:t>
            </w:r>
          </w:p>
        </w:tc>
      </w:tr>
      <w:tr>
        <w:trPr>
          <w:cantSplit/>
          <w:cantSplit/>
        </w:trPr>
        <w:tc>
          <w:tcPr>
            <w:tcW w:type="dxa" w:w="5100"/>
            <w:shd w:fill="EFF6FB"/>
            <w:tcMar>
              <w:top w:w="70" w:type="dxa"/>
              <w:start w:w="85" w:type="dxa"/>
              <w:bottom w:w="70" w:type="dxa"/>
              <w:end w:w="85" w:type="dxa"/>
            </w:tcMar>
            <w:tcBorders>
              <w:bottom w:val="single" w:sz="3" w:color="D9D9D9"/>
            </w:tcBorders>
          </w:tcPr>
          <w:p>
            <w:r>
              <w:rPr>
                <w:rFonts w:ascii="Arial" w:hAnsi="Arial"/>
                <w:b/>
                <w:color w:val="404040"/>
                <w:sz w:val="17"/>
              </w:rPr>
              <w:t>Instrument feature tested</w:t>
            </w:r>
          </w:p>
        </w:tc>
        <w:tc>
          <w:tcPr>
            <w:tcW w:type="dxa" w:w="5100"/>
            <w:shd w:fill="F7FBFE"/>
            <w:tcMar>
              <w:top w:w="70" w:type="dxa"/>
              <w:start w:w="85" w:type="dxa"/>
              <w:bottom w:w="70" w:type="dxa"/>
              <w:end w:w="85" w:type="dxa"/>
            </w:tcMar>
            <w:tcBorders>
              <w:bottom w:val="single" w:sz="3" w:color="D9D9D9"/>
            </w:tcBorders>
          </w:tcPr>
          <w:p>
            <w:r>
              <w:rPr>
                <w:rFonts w:ascii="Arial" w:hAnsi="Arial"/>
                <w:color w:val="404040"/>
                <w:sz w:val="17"/>
              </w:rPr>
              <w:t>Dimension-specific Unclear, partial sufficiency, and conditional confidence/evidence notes.</w:t>
            </w:r>
          </w:p>
        </w:tc>
      </w:tr>
    </w:tbl>
    <w:p>
      <w:pPr>
        <w:spacing w:before="0" w:after="40" w:line="252" w:lineRule="auto"/>
      </w:pPr>
    </w:p>
    <w:p>
      <w:r>
        <w:br w:type="page"/>
      </w:r>
    </w:p>
    <w:p>
      <w:pPr>
        <w:pStyle w:val="Heading2"/>
        <w:keepNext/>
        <w:spacing w:before="60" w:after="40" w:line="252" w:lineRule="auto"/>
      </w:pPr>
      <w:r>
        <w:rPr>
          <w:rFonts w:ascii="Arial" w:hAnsi="Arial"/>
          <w:b/>
          <w:color w:val="1F4E78"/>
          <w:sz w:val="25"/>
        </w:rPr>
        <w:t>Pilot 5: 2022/130</w:t>
      </w:r>
    </w:p>
    <w:p>
      <w:pPr>
        <w:spacing w:before="0" w:after="40" w:line="252" w:lineRule="auto"/>
      </w:pPr>
      <w:r>
        <w:rPr>
          <w:rFonts w:ascii="Arial" w:hAnsi="Arial"/>
          <w:b/>
          <w:color w:val="404040"/>
          <w:sz w:val="20"/>
        </w:rPr>
        <w:t xml:space="preserve">Project title: </w:t>
      </w:r>
      <w:r>
        <w:rPr>
          <w:rFonts w:ascii="Arial" w:hAnsi="Arial"/>
          <w:color w:val="404040"/>
          <w:sz w:val="20"/>
        </w:rPr>
        <w:t>Using the Earnings and Employees Study to analyse the association between unpaid caring and employment earnings in NI</w:t>
      </w:r>
    </w:p>
    <w:p>
      <w:pPr>
        <w:spacing w:before="0" w:after="80" w:line="252" w:lineRule="auto"/>
      </w:pPr>
      <w:r>
        <w:rPr>
          <w:rFonts w:ascii="Arial" w:hAnsi="Arial"/>
          <w:b/>
          <w:color w:val="404040"/>
          <w:sz w:val="20"/>
        </w:rPr>
        <w:t xml:space="preserve">Datasets used: </w:t>
      </w:r>
      <w:r>
        <w:rPr>
          <w:rFonts w:ascii="Arial" w:hAnsi="Arial"/>
          <w:color w:val="404040"/>
          <w:sz w:val="20"/>
        </w:rPr>
        <w:t>Northern Ireland Statistics and Research Agency: Earnings and Employees Study</w:t>
      </w:r>
    </w:p>
    <w:tbl>
      <w:tblPr>
        <w:tblW w:type="auto" w:w="0"/>
        <w:jc w:val="center"/>
        <w:tblLayout w:type="fixed"/>
        <w:tblLook w:firstColumn="1" w:firstRow="1" w:lastColumn="0" w:lastRow="0" w:noHBand="0" w:noVBand="1" w:val="04A0"/>
      </w:tblPr>
      <w:tblGrid>
        <w:gridCol w:w="9524"/>
      </w:tblGrid>
      <w:tr>
        <w:trPr>
          <w:cantSplit/>
        </w:trPr>
        <w:tc>
          <w:tcPr>
            <w:tcW w:type="dxa" w:w="10200"/>
            <w:shd w:fill="FFF2CC"/>
            <w:tcMar>
              <w:top w:w="70" w:type="dxa"/>
              <w:start w:w="100" w:type="dxa"/>
              <w:bottom w:w="70" w:type="dxa"/>
              <w:end w:w="100" w:type="dxa"/>
            </w:tcMar>
            <w:tcBorders>
              <w:bottom w:val="single" w:sz="4" w:color="B7B7B7"/>
            </w:tcBorders>
          </w:tcPr>
          <w:p>
            <w:r>
              <w:rPr>
                <w:rFonts w:ascii="Arial" w:hAnsi="Arial"/>
                <w:b/>
                <w:color w:val="404040"/>
                <w:sz w:val="19"/>
              </w:rPr>
              <w:t>Settled core with a genuine domain boundary</w:t>
            </w:r>
          </w:p>
        </w:tc>
      </w:tr>
    </w:tbl>
    <w:tbl>
      <w:tblPr>
        <w:tblW w:type="auto" w:w="0"/>
        <w:jc w:val="center"/>
        <w:tblLayout w:type="fixed"/>
        <w:tblLook w:firstColumn="1" w:firstRow="1" w:lastColumn="0" w:lastRow="0" w:noHBand="0" w:noVBand="1" w:val="04A0"/>
      </w:tblPr>
      <w:tblGrid>
        <w:gridCol w:w="2353"/>
        <w:gridCol w:w="7172"/>
      </w:tblGrid>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Research Domain(s)</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Labour Market &amp; Employment; Health &amp; Social Care (preferred, but Labour Market &amp; Employment alone is defensible)</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Analytical Purpose(s)</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Outcome Tracking</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Demographic disparities / equity</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Yes</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COVID-19 / pandemic</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No</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Register sufficiency</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Sufficient</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Taxonomy fit</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Fit</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Confidence</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Medium</w:t>
            </w:r>
          </w:p>
        </w:tc>
      </w:tr>
    </w:tbl>
    <w:p>
      <w:pPr>
        <w:spacing w:before="100" w:after="40" w:line="252" w:lineRule="auto"/>
      </w:pPr>
      <w:r>
        <w:rPr>
          <w:rFonts w:ascii="Arial" w:hAnsi="Arial"/>
          <w:b/>
          <w:color w:val="1F4E78"/>
          <w:sz w:val="21"/>
        </w:rPr>
        <w:t>Rationale by field</w:t>
      </w:r>
    </w:p>
    <w:p>
      <w:pPr>
        <w:spacing w:before="0" w:after="40" w:line="252" w:lineRule="auto"/>
      </w:pPr>
      <w:r>
        <w:rPr>
          <w:rFonts w:ascii="Arial" w:hAnsi="Arial"/>
          <w:b/>
          <w:color w:val="404040"/>
          <w:sz w:val="20"/>
        </w:rPr>
        <w:t xml:space="preserve">Research Domain(s): </w:t>
      </w:r>
      <w:r>
        <w:rPr>
          <w:rFonts w:ascii="Arial" w:hAnsi="Arial"/>
          <w:color w:val="404040"/>
          <w:sz w:val="20"/>
        </w:rPr>
        <w:t>Employment earnings are an explicit labour-market outcome, so Labour Market &amp; Employment is settled. Unpaid caring is also a substantive exposure rather than a control. Health &amp; Social Care is a defensible second domain where unpaid caring is treated as a care-related social-care phenomenon; a Labour-only reading is defensible if caring is treated only as the status defining the earnings comparison.</w:t>
      </w:r>
    </w:p>
    <w:p>
      <w:pPr>
        <w:spacing w:before="0" w:after="40" w:line="252" w:lineRule="auto"/>
      </w:pPr>
      <w:r>
        <w:rPr>
          <w:rFonts w:ascii="Arial" w:hAnsi="Arial"/>
          <w:b/>
          <w:color w:val="404040"/>
          <w:sz w:val="20"/>
        </w:rPr>
        <w:t xml:space="preserve">Analytical Purpose(s): </w:t>
      </w:r>
      <w:r>
        <w:rPr>
          <w:rFonts w:ascii="Arial" w:hAnsi="Arial"/>
          <w:color w:val="404040"/>
          <w:sz w:val="20"/>
        </w:rPr>
        <w:t>The project analyses an association between a naturally occurring status or condition—unpaid caring—and a downstream outcome—employment earnings. No deliberate intervention is named, so Outcome Tracking is the best-supported purpose.</w:t>
      </w:r>
    </w:p>
    <w:p>
      <w:pPr>
        <w:spacing w:before="0" w:after="40" w:line="252" w:lineRule="auto"/>
      </w:pPr>
      <w:r>
        <w:rPr>
          <w:rFonts w:ascii="Arial" w:hAnsi="Arial"/>
          <w:b/>
          <w:color w:val="404040"/>
          <w:sz w:val="20"/>
        </w:rPr>
        <w:t xml:space="preserve">Tags: </w:t>
      </w:r>
      <w:r>
        <w:rPr>
          <w:rFonts w:ascii="Arial" w:hAnsi="Arial"/>
          <w:color w:val="404040"/>
          <w:sz w:val="20"/>
        </w:rPr>
        <w:t>Carer status is included in the taxonomy’s equality-relevant characteristics, and it is central to the comparison. The equity tag is therefore Yes. No pandemic lens is present.</w:t>
      </w:r>
    </w:p>
    <w:p>
      <w:pPr>
        <w:spacing w:before="0" w:after="60" w:line="252" w:lineRule="auto"/>
      </w:pPr>
      <w:r>
        <w:rPr>
          <w:rFonts w:ascii="Arial" w:hAnsi="Arial"/>
          <w:b/>
          <w:color w:val="404040"/>
          <w:sz w:val="20"/>
        </w:rPr>
        <w:t xml:space="preserve">Sufficiency, taxonomy fit and confidence: </w:t>
      </w:r>
      <w:r>
        <w:rPr>
          <w:rFonts w:ascii="Arial" w:hAnsi="Arial"/>
          <w:color w:val="404040"/>
          <w:sz w:val="20"/>
        </w:rPr>
        <w:t>The title clearly establishes the exposure, outcome and equality lens. Residual uncertainty concerns the boundary of the Health &amp; Social Care domain, not missing register information.</w:t>
      </w:r>
    </w:p>
    <w:tbl>
      <w:tblPr>
        <w:tblW w:type="auto" w:w="0"/>
        <w:jc w:val="center"/>
        <w:tblLayout w:type="fixed"/>
        <w:tblLook w:firstColumn="1" w:firstRow="1" w:lastColumn="0" w:lastRow="0" w:noHBand="0" w:noVBand="1" w:val="04A0"/>
      </w:tblPr>
      <w:tblGrid>
        <w:gridCol w:w="2098"/>
        <w:gridCol w:w="7427"/>
      </w:tblGrid>
      <w:tr>
        <w:trPr>
          <w:cantSplit/>
          <w:cantSplit/>
        </w:trPr>
        <w:tc>
          <w:tcPr>
            <w:tcW w:type="dxa" w:w="5100"/>
            <w:shd w:fill="FFF2CC"/>
            <w:tcMar>
              <w:top w:w="70" w:type="dxa"/>
              <w:start w:w="85" w:type="dxa"/>
              <w:bottom w:w="70" w:type="dxa"/>
              <w:end w:w="85" w:type="dxa"/>
            </w:tcMar>
            <w:tcBorders>
              <w:bottom w:val="single" w:sz="3" w:color="D9D9D9"/>
            </w:tcBorders>
          </w:tcPr>
          <w:p>
            <w:r>
              <w:rPr>
                <w:rFonts w:ascii="Arial" w:hAnsi="Arial"/>
                <w:b/>
                <w:color w:val="404040"/>
                <w:sz w:val="17"/>
              </w:rPr>
              <w:t>Boundary / watch for</w:t>
            </w:r>
          </w:p>
        </w:tc>
        <w:tc>
          <w:tcPr>
            <w:tcW w:type="dxa" w:w="5100"/>
            <w:shd w:fill="FFFDF5"/>
            <w:tcMar>
              <w:top w:w="70" w:type="dxa"/>
              <w:start w:w="85" w:type="dxa"/>
              <w:bottom w:w="70" w:type="dxa"/>
              <w:end w:w="85" w:type="dxa"/>
            </w:tcMar>
            <w:tcBorders>
              <w:bottom w:val="single" w:sz="3" w:color="D9D9D9"/>
            </w:tcBorders>
          </w:tcPr>
          <w:p>
            <w:r>
              <w:rPr>
                <w:rFonts w:ascii="Arial" w:hAnsi="Arial"/>
                <w:color w:val="404040"/>
                <w:sz w:val="17"/>
              </w:rPr>
              <w:t>Debrief the Health &amp; Social Care label as genuinely contestable rather than treating one side as an error. A taxonomy-overlap flag is reasonable if a coder cannot resolve the boundary from the written rules.</w:t>
            </w:r>
          </w:p>
        </w:tc>
      </w:tr>
      <w:tr>
        <w:trPr>
          <w:cantSplit/>
          <w:cantSplit/>
        </w:trPr>
        <w:tc>
          <w:tcPr>
            <w:tcW w:type="dxa" w:w="5100"/>
            <w:shd w:fill="EFF6FB"/>
            <w:tcMar>
              <w:top w:w="70" w:type="dxa"/>
              <w:start w:w="85" w:type="dxa"/>
              <w:bottom w:w="70" w:type="dxa"/>
              <w:end w:w="85" w:type="dxa"/>
            </w:tcMar>
            <w:tcBorders>
              <w:bottom w:val="single" w:sz="3" w:color="D9D9D9"/>
            </w:tcBorders>
          </w:tcPr>
          <w:p>
            <w:r>
              <w:rPr>
                <w:rFonts w:ascii="Arial" w:hAnsi="Arial"/>
                <w:b/>
                <w:color w:val="404040"/>
                <w:sz w:val="17"/>
              </w:rPr>
              <w:t>Instrument feature tested</w:t>
            </w:r>
          </w:p>
        </w:tc>
        <w:tc>
          <w:tcPr>
            <w:tcW w:type="dxa" w:w="5100"/>
            <w:shd w:fill="F7FBFE"/>
            <w:tcMar>
              <w:top w:w="70" w:type="dxa"/>
              <w:start w:w="85" w:type="dxa"/>
              <w:bottom w:w="70" w:type="dxa"/>
              <w:end w:w="85" w:type="dxa"/>
            </w:tcMar>
            <w:tcBorders>
              <w:bottom w:val="single" w:sz="3" w:color="D9D9D9"/>
            </w:tcBorders>
          </w:tcPr>
          <w:p>
            <w:r>
              <w:rPr>
                <w:rFonts w:ascii="Arial" w:hAnsi="Arial"/>
                <w:color w:val="404040"/>
                <w:sz w:val="17"/>
              </w:rPr>
              <w:t>Multi-domain judgement, the carer-status equity rule, confidence notes, and taxonomy-overlap diagnostics.</w:t>
            </w:r>
          </w:p>
        </w:tc>
      </w:tr>
    </w:tbl>
    <w:p>
      <w:pPr>
        <w:spacing w:before="0" w:after="40" w:line="252" w:lineRule="auto"/>
      </w:pPr>
    </w:p>
    <w:p>
      <w:r>
        <w:br w:type="page"/>
      </w:r>
    </w:p>
    <w:p>
      <w:pPr>
        <w:pStyle w:val="Heading2"/>
        <w:keepNext/>
        <w:spacing w:before="60" w:after="40" w:line="252" w:lineRule="auto"/>
      </w:pPr>
      <w:r>
        <w:rPr>
          <w:rFonts w:ascii="Arial" w:hAnsi="Arial"/>
          <w:b/>
          <w:color w:val="1F4E78"/>
          <w:sz w:val="25"/>
        </w:rPr>
        <w:t>Pilot 6: 2024/248</w:t>
      </w:r>
    </w:p>
    <w:p>
      <w:pPr>
        <w:spacing w:before="0" w:after="40" w:line="252" w:lineRule="auto"/>
      </w:pPr>
      <w:r>
        <w:rPr>
          <w:rFonts w:ascii="Arial" w:hAnsi="Arial"/>
          <w:b/>
          <w:color w:val="404040"/>
          <w:sz w:val="20"/>
        </w:rPr>
        <w:t xml:space="preserve">Project title: </w:t>
      </w:r>
      <w:r>
        <w:rPr>
          <w:rFonts w:ascii="Arial" w:hAnsi="Arial"/>
          <w:color w:val="404040"/>
          <w:sz w:val="20"/>
        </w:rPr>
        <w:t>Domestic Energy Affordability Schemes impact evaluation</w:t>
      </w:r>
    </w:p>
    <w:p>
      <w:pPr>
        <w:spacing w:before="0" w:after="80" w:line="252" w:lineRule="auto"/>
      </w:pPr>
      <w:r>
        <w:rPr>
          <w:rFonts w:ascii="Arial" w:hAnsi="Arial"/>
          <w:b/>
          <w:color w:val="404040"/>
          <w:sz w:val="20"/>
        </w:rPr>
        <w:t xml:space="preserve">Datasets used: </w:t>
      </w:r>
      <w:r>
        <w:rPr>
          <w:rFonts w:ascii="Arial" w:hAnsi="Arial"/>
          <w:color w:val="404040"/>
          <w:sz w:val="20"/>
        </w:rPr>
        <w:t>Office for National Statistics: Living Costs and Food Survey - UK; DWP: Family Resources Survey - UK</w:t>
      </w:r>
    </w:p>
    <w:tbl>
      <w:tblPr>
        <w:tblW w:type="auto" w:w="0"/>
        <w:jc w:val="center"/>
        <w:tblLayout w:type="fixed"/>
        <w:tblLook w:firstColumn="1" w:firstRow="1" w:lastColumn="0" w:lastRow="0" w:noHBand="0" w:noVBand="1" w:val="04A0"/>
      </w:tblPr>
      <w:tblGrid>
        <w:gridCol w:w="9524"/>
      </w:tblGrid>
      <w:tr>
        <w:trPr>
          <w:cantSplit/>
        </w:trPr>
        <w:tc>
          <w:tcPr>
            <w:tcW w:type="dxa" w:w="10200"/>
            <w:shd w:fill="D9EAF7"/>
            <w:tcMar>
              <w:top w:w="70" w:type="dxa"/>
              <w:start w:w="100" w:type="dxa"/>
              <w:bottom w:w="70" w:type="dxa"/>
              <w:end w:w="100" w:type="dxa"/>
            </w:tcMar>
            <w:tcBorders>
              <w:bottom w:val="single" w:sz="4" w:color="B7B7B7"/>
            </w:tcBorders>
          </w:tcPr>
          <w:p>
            <w:r>
              <w:rPr>
                <w:rFonts w:ascii="Arial" w:hAnsi="Arial"/>
                <w:b/>
                <w:color w:val="404040"/>
                <w:sz w:val="19"/>
              </w:rPr>
              <w:t>Preferred instructor reading</w:t>
            </w:r>
          </w:p>
        </w:tc>
      </w:tr>
    </w:tbl>
    <w:tbl>
      <w:tblPr>
        <w:tblW w:type="auto" w:w="0"/>
        <w:jc w:val="center"/>
        <w:tblLayout w:type="fixed"/>
        <w:tblLook w:firstColumn="1" w:firstRow="1" w:lastColumn="0" w:lastRow="0" w:noHBand="0" w:noVBand="1" w:val="04A0"/>
      </w:tblPr>
      <w:tblGrid>
        <w:gridCol w:w="2353"/>
        <w:gridCol w:w="7172"/>
      </w:tblGrid>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Research Domain(s)</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Environment &amp; Agriculture; Poverty, Wealth &amp; Living Standards</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Analytical Purpose(s)</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Policy Evaluation / Impact Analysis</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Demographic disparities / equity</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No</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COVID-19 / pandemic</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No</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Register sufficiency</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Sufficient</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Taxonomy fit</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Fit</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Confidence</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High</w:t>
            </w:r>
          </w:p>
        </w:tc>
      </w:tr>
    </w:tbl>
    <w:p>
      <w:pPr>
        <w:spacing w:before="100" w:after="40" w:line="252" w:lineRule="auto"/>
      </w:pPr>
      <w:r>
        <w:rPr>
          <w:rFonts w:ascii="Arial" w:hAnsi="Arial"/>
          <w:b/>
          <w:color w:val="1F4E78"/>
          <w:sz w:val="21"/>
        </w:rPr>
        <w:t>Rationale by field</w:t>
      </w:r>
    </w:p>
    <w:p>
      <w:pPr>
        <w:spacing w:before="0" w:after="40" w:line="252" w:lineRule="auto"/>
      </w:pPr>
      <w:r>
        <w:rPr>
          <w:rFonts w:ascii="Arial" w:hAnsi="Arial"/>
          <w:b/>
          <w:color w:val="404040"/>
          <w:sz w:val="20"/>
        </w:rPr>
        <w:t xml:space="preserve">Research Domain(s): </w:t>
      </w:r>
      <w:r>
        <w:rPr>
          <w:rFonts w:ascii="Arial" w:hAnsi="Arial"/>
          <w:color w:val="404040"/>
          <w:sz w:val="20"/>
        </w:rPr>
        <w:t>Domestic energy is explicitly within the Environment &amp; Agriculture domain, while affordability is a household-resources and living-standards question. Both substantive objects are named, so both domains are assigned.</w:t>
      </w:r>
    </w:p>
    <w:p>
      <w:pPr>
        <w:spacing w:before="0" w:after="40" w:line="252" w:lineRule="auto"/>
      </w:pPr>
      <w:r>
        <w:rPr>
          <w:rFonts w:ascii="Arial" w:hAnsi="Arial"/>
          <w:b/>
          <w:color w:val="404040"/>
          <w:sz w:val="20"/>
        </w:rPr>
        <w:t xml:space="preserve">Analytical Purpose(s): </w:t>
      </w:r>
      <w:r>
        <w:rPr>
          <w:rFonts w:ascii="Arial" w:hAnsi="Arial"/>
          <w:color w:val="404040"/>
          <w:sz w:val="20"/>
        </w:rPr>
        <w:t>“Schemes impact evaluation” explicitly identifies evaluation of deliberate programmes or interventions, fixing the purpose as Policy Evaluation / Impact Analysis.</w:t>
      </w:r>
    </w:p>
    <w:p>
      <w:pPr>
        <w:spacing w:before="0" w:after="40" w:line="252" w:lineRule="auto"/>
      </w:pPr>
      <w:r>
        <w:rPr>
          <w:rFonts w:ascii="Arial" w:hAnsi="Arial"/>
          <w:b/>
          <w:color w:val="404040"/>
          <w:sz w:val="20"/>
        </w:rPr>
        <w:t xml:space="preserve">Tags: </w:t>
      </w:r>
      <w:r>
        <w:rPr>
          <w:rFonts w:ascii="Arial" w:hAnsi="Arial"/>
          <w:color w:val="404040"/>
          <w:sz w:val="20"/>
        </w:rPr>
        <w:t>Affordability is socioeconomic rather than an explicitly demographic/equality-group comparison. No pandemic condition is named.</w:t>
      </w:r>
    </w:p>
    <w:p>
      <w:pPr>
        <w:spacing w:before="0" w:after="60" w:line="252" w:lineRule="auto"/>
      </w:pPr>
      <w:r>
        <w:rPr>
          <w:rFonts w:ascii="Arial" w:hAnsi="Arial"/>
          <w:b/>
          <w:color w:val="404040"/>
          <w:sz w:val="20"/>
        </w:rPr>
        <w:t xml:space="preserve">Sufficiency, taxonomy fit and confidence: </w:t>
      </w:r>
      <w:r>
        <w:rPr>
          <w:rFonts w:ascii="Arial" w:hAnsi="Arial"/>
          <w:color w:val="404040"/>
          <w:sz w:val="20"/>
        </w:rPr>
        <w:t>The title supplies both substantive domains and the analytical operation. The datasets are consistent with household affordability analysis.</w:t>
      </w:r>
    </w:p>
    <w:tbl>
      <w:tblPr>
        <w:tblW w:type="auto" w:w="0"/>
        <w:jc w:val="center"/>
        <w:tblLayout w:type="fixed"/>
        <w:tblLook w:firstColumn="1" w:firstRow="1" w:lastColumn="0" w:lastRow="0" w:noHBand="0" w:noVBand="1" w:val="04A0"/>
      </w:tblPr>
      <w:tblGrid>
        <w:gridCol w:w="2098"/>
        <w:gridCol w:w="7427"/>
      </w:tblGrid>
      <w:tr>
        <w:trPr>
          <w:cantSplit/>
          <w:cantSplit/>
        </w:trPr>
        <w:tc>
          <w:tcPr>
            <w:tcW w:type="dxa" w:w="5100"/>
            <w:shd w:fill="FFF2CC"/>
            <w:tcMar>
              <w:top w:w="70" w:type="dxa"/>
              <w:start w:w="85" w:type="dxa"/>
              <w:bottom w:w="70" w:type="dxa"/>
              <w:end w:w="85" w:type="dxa"/>
            </w:tcMar>
            <w:tcBorders>
              <w:bottom w:val="single" w:sz="3" w:color="D9D9D9"/>
            </w:tcBorders>
          </w:tcPr>
          <w:p>
            <w:r>
              <w:rPr>
                <w:rFonts w:ascii="Arial" w:hAnsi="Arial"/>
                <w:b/>
                <w:color w:val="404040"/>
                <w:sz w:val="17"/>
              </w:rPr>
              <w:t>Boundary / watch for</w:t>
            </w:r>
          </w:p>
        </w:tc>
        <w:tc>
          <w:tcPr>
            <w:tcW w:type="dxa" w:w="5100"/>
            <w:shd w:fill="FFFDF5"/>
            <w:tcMar>
              <w:top w:w="70" w:type="dxa"/>
              <w:start w:w="85" w:type="dxa"/>
              <w:bottom w:w="70" w:type="dxa"/>
              <w:end w:w="85" w:type="dxa"/>
            </w:tcMar>
            <w:tcBorders>
              <w:bottom w:val="single" w:sz="3" w:color="D9D9D9"/>
            </w:tcBorders>
          </w:tcPr>
          <w:p>
            <w:r>
              <w:rPr>
                <w:rFonts w:ascii="Arial" w:hAnsi="Arial"/>
                <w:color w:val="404040"/>
                <w:sz w:val="17"/>
              </w:rPr>
              <w:t>Do not add Public Finance &amp; Taxation merely because public schemes are being evaluated. That domain requires tax, expenditure, fiscal policy or public finances to be a substantive object.</w:t>
            </w:r>
          </w:p>
        </w:tc>
      </w:tr>
      <w:tr>
        <w:trPr>
          <w:cantSplit/>
          <w:cantSplit/>
        </w:trPr>
        <w:tc>
          <w:tcPr>
            <w:tcW w:type="dxa" w:w="5100"/>
            <w:shd w:fill="EFF6FB"/>
            <w:tcMar>
              <w:top w:w="70" w:type="dxa"/>
              <w:start w:w="85" w:type="dxa"/>
              <w:bottom w:w="70" w:type="dxa"/>
              <w:end w:w="85" w:type="dxa"/>
            </w:tcMar>
            <w:tcBorders>
              <w:bottom w:val="single" w:sz="3" w:color="D9D9D9"/>
            </w:tcBorders>
          </w:tcPr>
          <w:p>
            <w:r>
              <w:rPr>
                <w:rFonts w:ascii="Arial" w:hAnsi="Arial"/>
                <w:b/>
                <w:color w:val="404040"/>
                <w:sz w:val="17"/>
              </w:rPr>
              <w:t>Instrument feature tested</w:t>
            </w:r>
          </w:p>
        </w:tc>
        <w:tc>
          <w:tcPr>
            <w:tcW w:type="dxa" w:w="5100"/>
            <w:shd w:fill="F7FBFE"/>
            <w:tcMar>
              <w:top w:w="70" w:type="dxa"/>
              <w:start w:w="85" w:type="dxa"/>
              <w:bottom w:w="70" w:type="dxa"/>
              <w:end w:w="85" w:type="dxa"/>
            </w:tcMar>
            <w:tcBorders>
              <w:bottom w:val="single" w:sz="3" w:color="D9D9D9"/>
            </w:tcBorders>
          </w:tcPr>
          <w:p>
            <w:r>
              <w:rPr>
                <w:rFonts w:ascii="Arial" w:hAnsi="Arial"/>
                <w:color w:val="404040"/>
                <w:sz w:val="17"/>
              </w:rPr>
              <w:t>Multi-domain policy evaluation and restraint against public-finance over-assignment.</w:t>
            </w:r>
          </w:p>
        </w:tc>
      </w:tr>
    </w:tbl>
    <w:p>
      <w:pPr>
        <w:spacing w:before="0" w:after="40" w:line="252" w:lineRule="auto"/>
      </w:pPr>
    </w:p>
    <w:p>
      <w:r>
        <w:br w:type="page"/>
      </w:r>
    </w:p>
    <w:p>
      <w:pPr>
        <w:pStyle w:val="Heading2"/>
        <w:keepNext/>
        <w:spacing w:before="60" w:after="40" w:line="252" w:lineRule="auto"/>
      </w:pPr>
      <w:r>
        <w:rPr>
          <w:rFonts w:ascii="Arial" w:hAnsi="Arial"/>
          <w:b/>
          <w:color w:val="1F4E78"/>
          <w:sz w:val="25"/>
        </w:rPr>
        <w:t>Pilot 7: 2021/056</w:t>
      </w:r>
    </w:p>
    <w:p>
      <w:pPr>
        <w:spacing w:before="0" w:after="40" w:line="252" w:lineRule="auto"/>
      </w:pPr>
      <w:r>
        <w:rPr>
          <w:rFonts w:ascii="Arial" w:hAnsi="Arial"/>
          <w:b/>
          <w:color w:val="404040"/>
          <w:sz w:val="20"/>
        </w:rPr>
        <w:t xml:space="preserve">Project title: </w:t>
      </w:r>
      <w:r>
        <w:rPr>
          <w:rFonts w:ascii="Arial" w:hAnsi="Arial"/>
          <w:color w:val="404040"/>
          <w:sz w:val="20"/>
        </w:rPr>
        <w:t>Evaluating the impact of the Cycling Demonstration Towns and Cycling Cities and Towns using the Office for National Statistics Longitudinal Study</w:t>
      </w:r>
    </w:p>
    <w:p>
      <w:pPr>
        <w:spacing w:before="0" w:after="80" w:line="252" w:lineRule="auto"/>
      </w:pPr>
      <w:r>
        <w:rPr>
          <w:rFonts w:ascii="Arial" w:hAnsi="Arial"/>
          <w:b/>
          <w:color w:val="404040"/>
          <w:sz w:val="20"/>
        </w:rPr>
        <w:t xml:space="preserve">Datasets used: </w:t>
      </w:r>
      <w:r>
        <w:rPr>
          <w:rFonts w:ascii="Arial" w:hAnsi="Arial"/>
          <w:color w:val="404040"/>
          <w:sz w:val="20"/>
        </w:rPr>
        <w:t>Office for National Statistics: Longitudinal Study of England and Wales</w:t>
      </w:r>
    </w:p>
    <w:tbl>
      <w:tblPr>
        <w:tblW w:type="auto" w:w="0"/>
        <w:jc w:val="center"/>
        <w:tblLayout w:type="fixed"/>
        <w:tblLook w:firstColumn="1" w:firstRow="1" w:lastColumn="0" w:lastRow="0" w:noHBand="0" w:noVBand="1" w:val="04A0"/>
      </w:tblPr>
      <w:tblGrid>
        <w:gridCol w:w="9524"/>
      </w:tblGrid>
      <w:tr>
        <w:trPr>
          <w:cantSplit/>
        </w:trPr>
        <w:tc>
          <w:tcPr>
            <w:tcW w:type="dxa" w:w="10200"/>
            <w:shd w:fill="D9EAF7"/>
            <w:tcMar>
              <w:top w:w="70" w:type="dxa"/>
              <w:start w:w="100" w:type="dxa"/>
              <w:bottom w:w="70" w:type="dxa"/>
              <w:end w:w="100" w:type="dxa"/>
            </w:tcMar>
            <w:tcBorders>
              <w:bottom w:val="single" w:sz="4" w:color="B7B7B7"/>
            </w:tcBorders>
          </w:tcPr>
          <w:p>
            <w:r>
              <w:rPr>
                <w:rFonts w:ascii="Arial" w:hAnsi="Arial"/>
                <w:b/>
                <w:color w:val="404040"/>
                <w:sz w:val="19"/>
              </w:rPr>
              <w:t>Preferred register-only reading</w:t>
            </w:r>
          </w:p>
        </w:tc>
      </w:tr>
    </w:tbl>
    <w:tbl>
      <w:tblPr>
        <w:tblW w:type="auto" w:w="0"/>
        <w:jc w:val="center"/>
        <w:tblLayout w:type="fixed"/>
        <w:tblLook w:firstColumn="1" w:firstRow="1" w:lastColumn="0" w:lastRow="0" w:noHBand="0" w:noVBand="1" w:val="04A0"/>
      </w:tblPr>
      <w:tblGrid>
        <w:gridCol w:w="2353"/>
        <w:gridCol w:w="7172"/>
      </w:tblGrid>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Research Domain(s)</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Unclear from Register Entry</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Analytical Purpose(s)</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Policy Evaluation / Impact Analysis</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Demographic disparities / equity</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No</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COVID-19 / pandemic</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No</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Register sufficiency</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Partial</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Taxonomy fit</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Fit</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Confidence</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Medium</w:t>
            </w:r>
          </w:p>
        </w:tc>
      </w:tr>
    </w:tbl>
    <w:p>
      <w:pPr>
        <w:spacing w:before="100" w:after="40" w:line="252" w:lineRule="auto"/>
      </w:pPr>
      <w:r>
        <w:rPr>
          <w:rFonts w:ascii="Arial" w:hAnsi="Arial"/>
          <w:b/>
          <w:color w:val="1F4E78"/>
          <w:sz w:val="21"/>
        </w:rPr>
        <w:t>Rationale by field</w:t>
      </w:r>
    </w:p>
    <w:p>
      <w:pPr>
        <w:spacing w:before="0" w:after="40" w:line="252" w:lineRule="auto"/>
      </w:pPr>
      <w:r>
        <w:rPr>
          <w:rFonts w:ascii="Arial" w:hAnsi="Arial"/>
          <w:b/>
          <w:color w:val="404040"/>
          <w:sz w:val="20"/>
        </w:rPr>
        <w:t xml:space="preserve">Research Domain(s): </w:t>
      </w:r>
      <w:r>
        <w:rPr>
          <w:rFonts w:ascii="Arial" w:hAnsi="Arial"/>
          <w:color w:val="404040"/>
          <w:sz w:val="20"/>
        </w:rPr>
        <w:t>The named cycling programmes identify the intervention but not the outcome being evaluated. Health, transport behaviour, environment and other domains are all plausible, but selecting among them would require knowledge not contained in the title or dataset field.</w:t>
      </w:r>
    </w:p>
    <w:p>
      <w:pPr>
        <w:spacing w:before="0" w:after="40" w:line="252" w:lineRule="auto"/>
      </w:pPr>
      <w:r>
        <w:rPr>
          <w:rFonts w:ascii="Arial" w:hAnsi="Arial"/>
          <w:b/>
          <w:color w:val="404040"/>
          <w:sz w:val="20"/>
        </w:rPr>
        <w:t xml:space="preserve">Analytical Purpose(s): </w:t>
      </w:r>
      <w:r>
        <w:rPr>
          <w:rFonts w:ascii="Arial" w:hAnsi="Arial"/>
          <w:color w:val="404040"/>
          <w:sz w:val="20"/>
        </w:rPr>
        <w:t>“Evaluating the impact” of the named Cycling Demonstration Towns and Cycling Cities and Towns programmes directly supports Policy Evaluation / Impact Analysis.</w:t>
      </w:r>
    </w:p>
    <w:p>
      <w:pPr>
        <w:spacing w:before="0" w:after="40" w:line="252" w:lineRule="auto"/>
      </w:pPr>
      <w:r>
        <w:rPr>
          <w:rFonts w:ascii="Arial" w:hAnsi="Arial"/>
          <w:b/>
          <w:color w:val="404040"/>
          <w:sz w:val="20"/>
        </w:rPr>
        <w:t xml:space="preserve">Tags: </w:t>
      </w:r>
      <w:r>
        <w:rPr>
          <w:rFonts w:ascii="Arial" w:hAnsi="Arial"/>
          <w:color w:val="404040"/>
          <w:sz w:val="20"/>
        </w:rPr>
        <w:t>No demographic/equality comparison or pandemic lens is visible.</w:t>
      </w:r>
    </w:p>
    <w:p>
      <w:pPr>
        <w:spacing w:before="0" w:after="60" w:line="252" w:lineRule="auto"/>
      </w:pPr>
      <w:r>
        <w:rPr>
          <w:rFonts w:ascii="Arial" w:hAnsi="Arial"/>
          <w:b/>
          <w:color w:val="404040"/>
          <w:sz w:val="20"/>
        </w:rPr>
        <w:t xml:space="preserve">Sufficiency, taxonomy fit and confidence: </w:t>
      </w:r>
      <w:r>
        <w:rPr>
          <w:rFonts w:ascii="Arial" w:hAnsi="Arial"/>
          <w:color w:val="404040"/>
          <w:sz w:val="20"/>
        </w:rPr>
        <w:t>The entry is sufficient for purpose but not for Research Domain. This supports Partial rather than wholly Insufficient register evidence. The taxonomy can represent the result, so taxonomy fit remains Fit.</w:t>
      </w:r>
    </w:p>
    <w:tbl>
      <w:tblPr>
        <w:tblW w:type="auto" w:w="0"/>
        <w:jc w:val="center"/>
        <w:tblLayout w:type="fixed"/>
        <w:tblLook w:firstColumn="1" w:firstRow="1" w:lastColumn="0" w:lastRow="0" w:noHBand="0" w:noVBand="1" w:val="04A0"/>
      </w:tblPr>
      <w:tblGrid>
        <w:gridCol w:w="2098"/>
        <w:gridCol w:w="7427"/>
      </w:tblGrid>
      <w:tr>
        <w:trPr>
          <w:cantSplit/>
          <w:cantSplit/>
        </w:trPr>
        <w:tc>
          <w:tcPr>
            <w:tcW w:type="dxa" w:w="5100"/>
            <w:shd w:fill="FFF2CC"/>
            <w:tcMar>
              <w:top w:w="70" w:type="dxa"/>
              <w:start w:w="85" w:type="dxa"/>
              <w:bottom w:w="70" w:type="dxa"/>
              <w:end w:w="85" w:type="dxa"/>
            </w:tcMar>
            <w:tcBorders>
              <w:bottom w:val="single" w:sz="3" w:color="D9D9D9"/>
            </w:tcBorders>
          </w:tcPr>
          <w:p>
            <w:r>
              <w:rPr>
                <w:rFonts w:ascii="Arial" w:hAnsi="Arial"/>
                <w:b/>
                <w:color w:val="404040"/>
                <w:sz w:val="17"/>
              </w:rPr>
              <w:t>Boundary / watch for</w:t>
            </w:r>
          </w:p>
        </w:tc>
        <w:tc>
          <w:tcPr>
            <w:tcW w:type="dxa" w:w="5100"/>
            <w:shd w:fill="FFFDF5"/>
            <w:tcMar>
              <w:top w:w="70" w:type="dxa"/>
              <w:start w:w="85" w:type="dxa"/>
              <w:bottom w:w="70" w:type="dxa"/>
              <w:end w:w="85" w:type="dxa"/>
            </w:tcMar>
            <w:tcBorders>
              <w:bottom w:val="single" w:sz="3" w:color="D9D9D9"/>
            </w:tcBorders>
          </w:tcPr>
          <w:p>
            <w:r>
              <w:rPr>
                <w:rFonts w:ascii="Arial" w:hAnsi="Arial"/>
                <w:color w:val="404040"/>
                <w:sz w:val="17"/>
              </w:rPr>
              <w:t>Do not import outside knowledge that the programmes concern active travel, public health or environmental outcomes. Unclear is dimension-specific and can coexist with a valid purpose in the other dimension.</w:t>
            </w:r>
          </w:p>
        </w:tc>
      </w:tr>
      <w:tr>
        <w:trPr>
          <w:cantSplit/>
          <w:cantSplit/>
        </w:trPr>
        <w:tc>
          <w:tcPr>
            <w:tcW w:type="dxa" w:w="5100"/>
            <w:shd w:fill="EFF6FB"/>
            <w:tcMar>
              <w:top w:w="70" w:type="dxa"/>
              <w:start w:w="85" w:type="dxa"/>
              <w:bottom w:w="70" w:type="dxa"/>
              <w:end w:w="85" w:type="dxa"/>
            </w:tcMar>
            <w:tcBorders>
              <w:bottom w:val="single" w:sz="3" w:color="D9D9D9"/>
            </w:tcBorders>
          </w:tcPr>
          <w:p>
            <w:r>
              <w:rPr>
                <w:rFonts w:ascii="Arial" w:hAnsi="Arial"/>
                <w:b/>
                <w:color w:val="404040"/>
                <w:sz w:val="17"/>
              </w:rPr>
              <w:t>Instrument feature tested</w:t>
            </w:r>
          </w:p>
        </w:tc>
        <w:tc>
          <w:tcPr>
            <w:tcW w:type="dxa" w:w="5100"/>
            <w:shd w:fill="F7FBFE"/>
            <w:tcMar>
              <w:top w:w="70" w:type="dxa"/>
              <w:start w:w="85" w:type="dxa"/>
              <w:bottom w:w="70" w:type="dxa"/>
              <w:end w:w="85" w:type="dxa"/>
            </w:tcMar>
            <w:tcBorders>
              <w:bottom w:val="single" w:sz="3" w:color="D9D9D9"/>
            </w:tcBorders>
          </w:tcPr>
          <w:p>
            <w:r>
              <w:rPr>
                <w:rFonts w:ascii="Arial" w:hAnsi="Arial"/>
                <w:color w:val="404040"/>
                <w:sz w:val="17"/>
              </w:rPr>
              <w:t>Dimension-specific Unclear and separation of a clearly identified intervention from an unstated outcome domain.</w:t>
            </w:r>
          </w:p>
        </w:tc>
      </w:tr>
    </w:tbl>
    <w:p>
      <w:pPr>
        <w:spacing w:before="0" w:after="40" w:line="252" w:lineRule="auto"/>
      </w:pPr>
    </w:p>
    <w:p>
      <w:r>
        <w:br w:type="page"/>
      </w:r>
    </w:p>
    <w:p>
      <w:pPr>
        <w:pStyle w:val="Heading2"/>
        <w:keepNext/>
        <w:spacing w:before="60" w:after="40" w:line="252" w:lineRule="auto"/>
      </w:pPr>
      <w:r>
        <w:rPr>
          <w:rFonts w:ascii="Arial" w:hAnsi="Arial"/>
          <w:b/>
          <w:color w:val="1F4E78"/>
          <w:sz w:val="25"/>
        </w:rPr>
        <w:t>Pilot 8: 2022/034</w:t>
      </w:r>
    </w:p>
    <w:p>
      <w:pPr>
        <w:spacing w:before="0" w:after="40" w:line="252" w:lineRule="auto"/>
      </w:pPr>
      <w:r>
        <w:rPr>
          <w:rFonts w:ascii="Arial" w:hAnsi="Arial"/>
          <w:b/>
          <w:color w:val="404040"/>
          <w:sz w:val="20"/>
        </w:rPr>
        <w:t xml:space="preserve">Project title: </w:t>
      </w:r>
      <w:r>
        <w:rPr>
          <w:rFonts w:ascii="Arial" w:hAnsi="Arial"/>
          <w:color w:val="404040"/>
          <w:sz w:val="20"/>
        </w:rPr>
        <w:t>Developing a resilience framework for UK creative micro-businesses as a route to recovery from the Covid 19 pandemic</w:t>
      </w:r>
    </w:p>
    <w:p>
      <w:pPr>
        <w:spacing w:before="0" w:after="80" w:line="252" w:lineRule="auto"/>
      </w:pPr>
      <w:r>
        <w:rPr>
          <w:rFonts w:ascii="Arial" w:hAnsi="Arial"/>
          <w:b/>
          <w:color w:val="404040"/>
          <w:sz w:val="20"/>
        </w:rPr>
        <w:t xml:space="preserve">Datasets used: </w:t>
      </w:r>
      <w:r>
        <w:rPr>
          <w:rFonts w:ascii="Arial" w:hAnsi="Arial"/>
          <w:color w:val="404040"/>
          <w:sz w:val="20"/>
        </w:rPr>
        <w:t>Office for National Statistics: Business Insights and Conditions Survey, Business Structure Database</w:t>
      </w:r>
    </w:p>
    <w:tbl>
      <w:tblPr>
        <w:tblW w:type="auto" w:w="0"/>
        <w:jc w:val="center"/>
        <w:tblLayout w:type="fixed"/>
        <w:tblLook w:firstColumn="1" w:firstRow="1" w:lastColumn="0" w:lastRow="0" w:noHBand="0" w:noVBand="1" w:val="04A0"/>
      </w:tblPr>
      <w:tblGrid>
        <w:gridCol w:w="9524"/>
      </w:tblGrid>
      <w:tr>
        <w:trPr>
          <w:cantSplit/>
        </w:trPr>
        <w:tc>
          <w:tcPr>
            <w:tcW w:type="dxa" w:w="10200"/>
            <w:shd w:fill="FFF2CC"/>
            <w:tcMar>
              <w:top w:w="70" w:type="dxa"/>
              <w:start w:w="100" w:type="dxa"/>
              <w:bottom w:w="70" w:type="dxa"/>
              <w:end w:w="100" w:type="dxa"/>
            </w:tcMar>
            <w:tcBorders>
              <w:bottom w:val="single" w:sz="4" w:color="B7B7B7"/>
            </w:tcBorders>
          </w:tcPr>
          <w:p>
            <w:r>
              <w:rPr>
                <w:rFonts w:ascii="Arial" w:hAnsi="Arial"/>
                <w:b/>
                <w:color w:val="404040"/>
                <w:sz w:val="19"/>
              </w:rPr>
              <w:t>Settled core with an analytical-method boundary</w:t>
            </w:r>
          </w:p>
        </w:tc>
      </w:tr>
    </w:tbl>
    <w:tbl>
      <w:tblPr>
        <w:tblW w:type="auto" w:w="0"/>
        <w:jc w:val="center"/>
        <w:tblLayout w:type="fixed"/>
        <w:tblLook w:firstColumn="1" w:firstRow="1" w:lastColumn="0" w:lastRow="0" w:noHBand="0" w:noVBand="1" w:val="04A0"/>
      </w:tblPr>
      <w:tblGrid>
        <w:gridCol w:w="2353"/>
        <w:gridCol w:w="7172"/>
      </w:tblGrid>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Research Domain(s)</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Business &amp; Productivity (settled); Data Infrastructure &amp; Methodology is defensible but not required</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Analytical Purpose(s)</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Methodological / Infrastructure Research (preferred); Descriptive Monitoring is a defensible alternative</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Demographic disparities / equity</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No</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COVID-19 / pandemic</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Yes</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Register sufficiency</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Sufficient</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Taxonomy fit</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Fit or Partial Fit if the framework boundary is judged unresolved</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Confidence</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Medium</w:t>
            </w:r>
          </w:p>
        </w:tc>
      </w:tr>
    </w:tbl>
    <w:p>
      <w:pPr>
        <w:spacing w:before="100" w:after="40" w:line="252" w:lineRule="auto"/>
      </w:pPr>
      <w:r>
        <w:rPr>
          <w:rFonts w:ascii="Arial" w:hAnsi="Arial"/>
          <w:b/>
          <w:color w:val="1F4E78"/>
          <w:sz w:val="21"/>
        </w:rPr>
        <w:t>Rationale by field</w:t>
      </w:r>
    </w:p>
    <w:p>
      <w:pPr>
        <w:spacing w:before="0" w:after="40" w:line="252" w:lineRule="auto"/>
      </w:pPr>
      <w:r>
        <w:rPr>
          <w:rFonts w:ascii="Arial" w:hAnsi="Arial"/>
          <w:b/>
          <w:color w:val="404040"/>
          <w:sz w:val="20"/>
        </w:rPr>
        <w:t xml:space="preserve">Research Domain(s): </w:t>
      </w:r>
      <w:r>
        <w:rPr>
          <w:rFonts w:ascii="Arial" w:hAnsi="Arial"/>
          <w:color w:val="404040"/>
          <w:sz w:val="20"/>
        </w:rPr>
        <w:t>UK creative micro-businesses and their resilience are the substantive object, establishing Business &amp; Productivity. A second Data Infrastructure &amp; Methodology domain is defensible only if the resilience framework itself is treated as a substantive methodological object, rather than simply the product of a business-resilience study.</w:t>
      </w:r>
    </w:p>
    <w:p>
      <w:pPr>
        <w:spacing w:before="0" w:after="40" w:line="252" w:lineRule="auto"/>
      </w:pPr>
      <w:r>
        <w:rPr>
          <w:rFonts w:ascii="Arial" w:hAnsi="Arial"/>
          <w:b/>
          <w:color w:val="404040"/>
          <w:sz w:val="20"/>
        </w:rPr>
        <w:t xml:space="preserve">Analytical Purpose(s): </w:t>
      </w:r>
      <w:r>
        <w:rPr>
          <w:rFonts w:ascii="Arial" w:hAnsi="Arial"/>
          <w:color w:val="404040"/>
          <w:sz w:val="20"/>
        </w:rPr>
        <w:t>“Developing a resilience framework” most naturally describes development of an analytical or conceptual framework, supporting Methodological / Infrastructure Research. Descriptive Monitoring remains defensible if “framework” is interpreted as organising observed business-resilience patterns rather than developing a method.</w:t>
      </w:r>
    </w:p>
    <w:p>
      <w:pPr>
        <w:spacing w:before="0" w:after="40" w:line="252" w:lineRule="auto"/>
      </w:pPr>
      <w:r>
        <w:rPr>
          <w:rFonts w:ascii="Arial" w:hAnsi="Arial"/>
          <w:b/>
          <w:color w:val="404040"/>
          <w:sz w:val="20"/>
        </w:rPr>
        <w:t xml:space="preserve">Tags: </w:t>
      </w:r>
      <w:r>
        <w:rPr>
          <w:rFonts w:ascii="Arial" w:hAnsi="Arial"/>
          <w:color w:val="404040"/>
          <w:sz w:val="20"/>
        </w:rPr>
        <w:t>Recovery from the Covid-19 pandemic is explicit and central, so the COVID-19/pandemic tag is Yes. No demographic equality comparison is stated.</w:t>
      </w:r>
    </w:p>
    <w:p>
      <w:pPr>
        <w:spacing w:before="0" w:after="60" w:line="252" w:lineRule="auto"/>
      </w:pPr>
      <w:r>
        <w:rPr>
          <w:rFonts w:ascii="Arial" w:hAnsi="Arial"/>
          <w:b/>
          <w:color w:val="404040"/>
          <w:sz w:val="20"/>
        </w:rPr>
        <w:t xml:space="preserve">Sufficiency, taxonomy fit and confidence: </w:t>
      </w:r>
      <w:r>
        <w:rPr>
          <w:rFonts w:ascii="Arial" w:hAnsi="Arial"/>
          <w:color w:val="404040"/>
          <w:sz w:val="20"/>
        </w:rPr>
        <w:t>The visible fields are informative, but “framework” sits near a taxonomy boundary. Medium confidence and a brief note are more appropriate than pretending the wording uniquely determines the purpose and methodology domain.</w:t>
      </w:r>
    </w:p>
    <w:tbl>
      <w:tblPr>
        <w:tblW w:type="auto" w:w="0"/>
        <w:jc w:val="center"/>
        <w:tblLayout w:type="fixed"/>
        <w:tblLook w:firstColumn="1" w:firstRow="1" w:lastColumn="0" w:lastRow="0" w:noHBand="0" w:noVBand="1" w:val="04A0"/>
      </w:tblPr>
      <w:tblGrid>
        <w:gridCol w:w="2098"/>
        <w:gridCol w:w="7427"/>
      </w:tblGrid>
      <w:tr>
        <w:trPr>
          <w:cantSplit/>
          <w:cantSplit/>
        </w:trPr>
        <w:tc>
          <w:tcPr>
            <w:tcW w:type="dxa" w:w="5100"/>
            <w:shd w:fill="FFF2CC"/>
            <w:tcMar>
              <w:top w:w="70" w:type="dxa"/>
              <w:start w:w="85" w:type="dxa"/>
              <w:bottom w:w="70" w:type="dxa"/>
              <w:end w:w="85" w:type="dxa"/>
            </w:tcMar>
            <w:tcBorders>
              <w:bottom w:val="single" w:sz="3" w:color="D9D9D9"/>
            </w:tcBorders>
          </w:tcPr>
          <w:p>
            <w:r>
              <w:rPr>
                <w:rFonts w:ascii="Arial" w:hAnsi="Arial"/>
                <w:b/>
                <w:color w:val="404040"/>
                <w:sz w:val="17"/>
              </w:rPr>
              <w:t>Boundary / watch for</w:t>
            </w:r>
          </w:p>
        </w:tc>
        <w:tc>
          <w:tcPr>
            <w:tcW w:type="dxa" w:w="5100"/>
            <w:shd w:fill="FFFDF5"/>
            <w:tcMar>
              <w:top w:w="70" w:type="dxa"/>
              <w:start w:w="85" w:type="dxa"/>
              <w:bottom w:w="70" w:type="dxa"/>
              <w:end w:w="85" w:type="dxa"/>
            </w:tcMar>
            <w:tcBorders>
              <w:bottom w:val="single" w:sz="3" w:color="D9D9D9"/>
            </w:tcBorders>
          </w:tcPr>
          <w:p>
            <w:r>
              <w:rPr>
                <w:rFonts w:ascii="Arial" w:hAnsi="Arial"/>
                <w:color w:val="404040"/>
                <w:sz w:val="17"/>
              </w:rPr>
              <w:t>There is deliberately no single scoring key for the methodology-domain and purpose boundary. The debrief should focus on whether coders can explain the operation they see and use the fit/confidence fields coherently.</w:t>
            </w:r>
          </w:p>
        </w:tc>
      </w:tr>
      <w:tr>
        <w:trPr>
          <w:cantSplit/>
          <w:cantSplit/>
        </w:trPr>
        <w:tc>
          <w:tcPr>
            <w:tcW w:type="dxa" w:w="5100"/>
            <w:shd w:fill="EFF6FB"/>
            <w:tcMar>
              <w:top w:w="70" w:type="dxa"/>
              <w:start w:w="85" w:type="dxa"/>
              <w:bottom w:w="70" w:type="dxa"/>
              <w:end w:w="85" w:type="dxa"/>
            </w:tcMar>
            <w:tcBorders>
              <w:bottom w:val="single" w:sz="3" w:color="D9D9D9"/>
            </w:tcBorders>
          </w:tcPr>
          <w:p>
            <w:r>
              <w:rPr>
                <w:rFonts w:ascii="Arial" w:hAnsi="Arial"/>
                <w:b/>
                <w:color w:val="404040"/>
                <w:sz w:val="17"/>
              </w:rPr>
              <w:t>Instrument feature tested</w:t>
            </w:r>
          </w:p>
        </w:tc>
        <w:tc>
          <w:tcPr>
            <w:tcW w:type="dxa" w:w="5100"/>
            <w:shd w:fill="F7FBFE"/>
            <w:tcMar>
              <w:top w:w="70" w:type="dxa"/>
              <w:start w:w="85" w:type="dxa"/>
              <w:bottom w:w="70" w:type="dxa"/>
              <w:end w:w="85" w:type="dxa"/>
            </w:tcMar>
            <w:tcBorders>
              <w:bottom w:val="single" w:sz="3" w:color="D9D9D9"/>
            </w:tcBorders>
          </w:tcPr>
          <w:p>
            <w:r>
              <w:rPr>
                <w:rFonts w:ascii="Arial" w:hAnsi="Arial"/>
                <w:color w:val="404040"/>
                <w:sz w:val="17"/>
              </w:rPr>
              <w:t>Framework/methodology boundary, COVID tagging, confidence notes, and taxonomy-fit diagnostics.</w:t>
            </w:r>
          </w:p>
        </w:tc>
      </w:tr>
    </w:tbl>
    <w:p>
      <w:pPr>
        <w:spacing w:before="0" w:after="40" w:line="252" w:lineRule="auto"/>
      </w:pPr>
    </w:p>
    <w:p>
      <w:r>
        <w:br w:type="page"/>
      </w:r>
    </w:p>
    <w:p>
      <w:pPr>
        <w:pStyle w:val="Heading2"/>
        <w:keepNext/>
        <w:spacing w:before="60" w:after="40" w:line="252" w:lineRule="auto"/>
      </w:pPr>
      <w:r>
        <w:rPr>
          <w:rFonts w:ascii="Arial" w:hAnsi="Arial"/>
          <w:b/>
          <w:color w:val="1F4E78"/>
          <w:sz w:val="25"/>
        </w:rPr>
        <w:t>Pilot 9: 2025/181</w:t>
      </w:r>
    </w:p>
    <w:p>
      <w:pPr>
        <w:spacing w:before="0" w:after="40" w:line="252" w:lineRule="auto"/>
      </w:pPr>
      <w:r>
        <w:rPr>
          <w:rFonts w:ascii="Arial" w:hAnsi="Arial"/>
          <w:b/>
          <w:color w:val="404040"/>
          <w:sz w:val="20"/>
        </w:rPr>
        <w:t xml:space="preserve">Project title: </w:t>
      </w:r>
      <w:r>
        <w:rPr>
          <w:rFonts w:ascii="Arial" w:hAnsi="Arial"/>
          <w:color w:val="404040"/>
          <w:sz w:val="20"/>
        </w:rPr>
        <w:t>Developing machine learning models to predict students' academic outcomes from previous academic performance.</w:t>
      </w:r>
    </w:p>
    <w:p>
      <w:pPr>
        <w:spacing w:before="0" w:after="80" w:line="252" w:lineRule="auto"/>
      </w:pPr>
      <w:r>
        <w:rPr>
          <w:rFonts w:ascii="Arial" w:hAnsi="Arial"/>
          <w:b/>
          <w:color w:val="404040"/>
          <w:sz w:val="20"/>
        </w:rPr>
        <w:t xml:space="preserve">Datasets used: </w:t>
      </w:r>
      <w:r>
        <w:rPr>
          <w:rFonts w:ascii="Arial" w:hAnsi="Arial"/>
          <w:color w:val="404040"/>
          <w:sz w:val="20"/>
        </w:rPr>
        <w:t>Department for Education: GRading and Admissions Data England - Ofqual - DfE</w:t>
      </w:r>
    </w:p>
    <w:tbl>
      <w:tblPr>
        <w:tblW w:type="auto" w:w="0"/>
        <w:jc w:val="center"/>
        <w:tblLayout w:type="fixed"/>
        <w:tblLook w:firstColumn="1" w:firstRow="1" w:lastColumn="0" w:lastRow="0" w:noHBand="0" w:noVBand="1" w:val="04A0"/>
      </w:tblPr>
      <w:tblGrid>
        <w:gridCol w:w="9524"/>
      </w:tblGrid>
      <w:tr>
        <w:trPr>
          <w:cantSplit/>
        </w:trPr>
        <w:tc>
          <w:tcPr>
            <w:tcW w:type="dxa" w:w="10200"/>
            <w:shd w:fill="FFF2CC"/>
            <w:tcMar>
              <w:top w:w="70" w:type="dxa"/>
              <w:start w:w="100" w:type="dxa"/>
              <w:bottom w:w="70" w:type="dxa"/>
              <w:end w:w="100" w:type="dxa"/>
            </w:tcMar>
            <w:tcBorders>
              <w:bottom w:val="single" w:sz="4" w:color="B7B7B7"/>
            </w:tcBorders>
          </w:tcPr>
          <w:p>
            <w:r>
              <w:rPr>
                <w:rFonts w:ascii="Arial" w:hAnsi="Arial"/>
                <w:b/>
                <w:color w:val="404040"/>
                <w:sz w:val="19"/>
              </w:rPr>
              <w:t>Settled core with a second-purpose boundary</w:t>
            </w:r>
          </w:p>
        </w:tc>
      </w:tr>
    </w:tbl>
    <w:tbl>
      <w:tblPr>
        <w:tblW w:type="auto" w:w="0"/>
        <w:jc w:val="center"/>
        <w:tblLayout w:type="fixed"/>
        <w:tblLook w:firstColumn="1" w:firstRow="1" w:lastColumn="0" w:lastRow="0" w:noHBand="0" w:noVBand="1" w:val="04A0"/>
      </w:tblPr>
      <w:tblGrid>
        <w:gridCol w:w="2353"/>
        <w:gridCol w:w="7172"/>
      </w:tblGrid>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Research Domain(s)</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Education &amp; Skills</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Analytical Purpose(s)</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Risk Prediction / Early Identification; Methodological / Infrastructure Research (preferred two-purpose reading)</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Demographic disparities / equity</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No</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COVID-19 / pandemic</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No</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Register sufficiency</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Sufficient</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Taxonomy fit</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Fit</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Confidence</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Medium</w:t>
            </w:r>
          </w:p>
        </w:tc>
      </w:tr>
    </w:tbl>
    <w:p>
      <w:pPr>
        <w:spacing w:before="100" w:after="40" w:line="252" w:lineRule="auto"/>
      </w:pPr>
      <w:r>
        <w:rPr>
          <w:rFonts w:ascii="Arial" w:hAnsi="Arial"/>
          <w:b/>
          <w:color w:val="1F4E78"/>
          <w:sz w:val="21"/>
        </w:rPr>
        <w:t>Rationale by field</w:t>
      </w:r>
    </w:p>
    <w:p>
      <w:pPr>
        <w:spacing w:before="0" w:after="40" w:line="252" w:lineRule="auto"/>
      </w:pPr>
      <w:r>
        <w:rPr>
          <w:rFonts w:ascii="Arial" w:hAnsi="Arial"/>
          <w:b/>
          <w:color w:val="404040"/>
          <w:sz w:val="20"/>
        </w:rPr>
        <w:t xml:space="preserve">Research Domain(s): </w:t>
      </w:r>
      <w:r>
        <w:rPr>
          <w:rFonts w:ascii="Arial" w:hAnsi="Arial"/>
          <w:color w:val="404040"/>
          <w:sz w:val="20"/>
        </w:rPr>
        <w:t>Students’ academic outcomes and prior academic performance are education objects. Machine learning is the method used; it does not by itself establish the Data Infrastructure &amp; Methodology domain.</w:t>
      </w:r>
    </w:p>
    <w:p>
      <w:pPr>
        <w:spacing w:before="0" w:after="40" w:line="252" w:lineRule="auto"/>
      </w:pPr>
      <w:r>
        <w:rPr>
          <w:rFonts w:ascii="Arial" w:hAnsi="Arial"/>
          <w:b/>
          <w:color w:val="404040"/>
          <w:sz w:val="20"/>
        </w:rPr>
        <w:t xml:space="preserve">Analytical Purpose(s): </w:t>
      </w:r>
      <w:r>
        <w:rPr>
          <w:rFonts w:ascii="Arial" w:hAnsi="Arial"/>
          <w:color w:val="404040"/>
          <w:sz w:val="20"/>
        </w:rPr>
        <w:t>The project explicitly predicts future academic outcomes from prior performance, directly supporting Risk Prediction / Early Identification. “Developing machine learning models” also makes model development a central operation, so Methodological / Infrastructure Research is a defensible and preferred second purpose. A Risk-only reading remains defensible if model development is treated as the means rather than a co-equal operation.</w:t>
      </w:r>
    </w:p>
    <w:p>
      <w:pPr>
        <w:spacing w:before="0" w:after="40" w:line="252" w:lineRule="auto"/>
      </w:pPr>
      <w:r>
        <w:rPr>
          <w:rFonts w:ascii="Arial" w:hAnsi="Arial"/>
          <w:b/>
          <w:color w:val="404040"/>
          <w:sz w:val="20"/>
        </w:rPr>
        <w:t xml:space="preserve">Tags: </w:t>
      </w:r>
      <w:r>
        <w:rPr>
          <w:rFonts w:ascii="Arial" w:hAnsi="Arial"/>
          <w:color w:val="404040"/>
          <w:sz w:val="20"/>
        </w:rPr>
        <w:t>No demographic/equality comparison or pandemic condition is specified.</w:t>
      </w:r>
    </w:p>
    <w:p>
      <w:pPr>
        <w:spacing w:before="0" w:after="60" w:line="252" w:lineRule="auto"/>
      </w:pPr>
      <w:r>
        <w:rPr>
          <w:rFonts w:ascii="Arial" w:hAnsi="Arial"/>
          <w:b/>
          <w:color w:val="404040"/>
          <w:sz w:val="20"/>
        </w:rPr>
        <w:t xml:space="preserve">Sufficiency, taxonomy fit and confidence: </w:t>
      </w:r>
      <w:r>
        <w:rPr>
          <w:rFonts w:ascii="Arial" w:hAnsi="Arial"/>
          <w:color w:val="404040"/>
          <w:sz w:val="20"/>
        </w:rPr>
        <w:t>The object and predictive aim are explicit. Medium confidence reflects only the judgement about whether model development warrants a second purpose, not uncertainty about the education domain or risk-prediction purpose.</w:t>
      </w:r>
    </w:p>
    <w:tbl>
      <w:tblPr>
        <w:tblW w:type="auto" w:w="0"/>
        <w:jc w:val="center"/>
        <w:tblLayout w:type="fixed"/>
        <w:tblLook w:firstColumn="1" w:firstRow="1" w:lastColumn="0" w:lastRow="0" w:noHBand="0" w:noVBand="1" w:val="04A0"/>
      </w:tblPr>
      <w:tblGrid>
        <w:gridCol w:w="2098"/>
        <w:gridCol w:w="7427"/>
      </w:tblGrid>
      <w:tr>
        <w:trPr>
          <w:cantSplit/>
          <w:cantSplit/>
        </w:trPr>
        <w:tc>
          <w:tcPr>
            <w:tcW w:type="dxa" w:w="5100"/>
            <w:shd w:fill="FFF2CC"/>
            <w:tcMar>
              <w:top w:w="70" w:type="dxa"/>
              <w:start w:w="85" w:type="dxa"/>
              <w:bottom w:w="70" w:type="dxa"/>
              <w:end w:w="85" w:type="dxa"/>
            </w:tcMar>
            <w:tcBorders>
              <w:bottom w:val="single" w:sz="3" w:color="D9D9D9"/>
            </w:tcBorders>
          </w:tcPr>
          <w:p>
            <w:r>
              <w:rPr>
                <w:rFonts w:ascii="Arial" w:hAnsi="Arial"/>
                <w:b/>
                <w:color w:val="404040"/>
                <w:sz w:val="17"/>
              </w:rPr>
              <w:t>Boundary / watch for</w:t>
            </w:r>
          </w:p>
        </w:tc>
        <w:tc>
          <w:tcPr>
            <w:tcW w:type="dxa" w:w="5100"/>
            <w:shd w:fill="FFFDF5"/>
            <w:tcMar>
              <w:top w:w="70" w:type="dxa"/>
              <w:start w:w="85" w:type="dxa"/>
              <w:bottom w:w="70" w:type="dxa"/>
              <w:end w:w="85" w:type="dxa"/>
            </w:tcMar>
            <w:tcBorders>
              <w:bottom w:val="single" w:sz="3" w:color="D9D9D9"/>
            </w:tcBorders>
          </w:tcPr>
          <w:p>
            <w:r>
              <w:rPr>
                <w:rFonts w:ascii="Arial" w:hAnsi="Arial"/>
                <w:color w:val="404040"/>
                <w:sz w:val="17"/>
              </w:rPr>
              <w:t>Do not automatically add the methodology domain simply because machine learning is used. Ask separately whether the method is the substantive object and whether its development is a genuinely central analytical operation.</w:t>
            </w:r>
          </w:p>
        </w:tc>
      </w:tr>
      <w:tr>
        <w:trPr>
          <w:cantSplit/>
          <w:cantSplit/>
        </w:trPr>
        <w:tc>
          <w:tcPr>
            <w:tcW w:type="dxa" w:w="5100"/>
            <w:shd w:fill="EFF6FB"/>
            <w:tcMar>
              <w:top w:w="70" w:type="dxa"/>
              <w:start w:w="85" w:type="dxa"/>
              <w:bottom w:w="70" w:type="dxa"/>
              <w:end w:w="85" w:type="dxa"/>
            </w:tcMar>
            <w:tcBorders>
              <w:bottom w:val="single" w:sz="3" w:color="D9D9D9"/>
            </w:tcBorders>
          </w:tcPr>
          <w:p>
            <w:r>
              <w:rPr>
                <w:rFonts w:ascii="Arial" w:hAnsi="Arial"/>
                <w:b/>
                <w:color w:val="404040"/>
                <w:sz w:val="17"/>
              </w:rPr>
              <w:t>Instrument feature tested</w:t>
            </w:r>
          </w:p>
        </w:tc>
        <w:tc>
          <w:tcPr>
            <w:tcW w:type="dxa" w:w="5100"/>
            <w:shd w:fill="F7FBFE"/>
            <w:tcMar>
              <w:top w:w="70" w:type="dxa"/>
              <w:start w:w="85" w:type="dxa"/>
              <w:bottom w:w="70" w:type="dxa"/>
              <w:end w:w="85" w:type="dxa"/>
            </w:tcMar>
            <w:tcBorders>
              <w:bottom w:val="single" w:sz="3" w:color="D9D9D9"/>
            </w:tcBorders>
          </w:tcPr>
          <w:p>
            <w:r>
              <w:rPr>
                <w:rFonts w:ascii="Arial" w:hAnsi="Arial"/>
                <w:color w:val="404040"/>
                <w:sz w:val="17"/>
              </w:rPr>
              <w:t>Second-purpose judgement, method-as-means versus method-as-operation, and the two-purpose maximum.</w:t>
            </w:r>
          </w:p>
        </w:tc>
      </w:tr>
    </w:tbl>
    <w:p>
      <w:pPr>
        <w:spacing w:before="0" w:after="40" w:line="252" w:lineRule="auto"/>
      </w:pPr>
    </w:p>
    <w:p>
      <w:r>
        <w:br w:type="page"/>
      </w:r>
    </w:p>
    <w:p>
      <w:pPr>
        <w:pStyle w:val="Heading2"/>
        <w:keepNext/>
        <w:spacing w:before="60" w:after="40" w:line="252" w:lineRule="auto"/>
      </w:pPr>
      <w:r>
        <w:rPr>
          <w:rFonts w:ascii="Arial" w:hAnsi="Arial"/>
          <w:b/>
          <w:color w:val="1F4E78"/>
          <w:sz w:val="25"/>
        </w:rPr>
        <w:t>Pilot 10: 2025/027</w:t>
      </w:r>
    </w:p>
    <w:p>
      <w:pPr>
        <w:spacing w:before="0" w:after="40" w:line="252" w:lineRule="auto"/>
      </w:pPr>
      <w:r>
        <w:rPr>
          <w:rFonts w:ascii="Arial" w:hAnsi="Arial"/>
          <w:b/>
          <w:color w:val="404040"/>
          <w:sz w:val="20"/>
        </w:rPr>
        <w:t xml:space="preserve">Project title: </w:t>
      </w:r>
      <w:r>
        <w:rPr>
          <w:rFonts w:ascii="Arial" w:hAnsi="Arial"/>
          <w:color w:val="404040"/>
          <w:sz w:val="20"/>
        </w:rPr>
        <w:t>Migration Observatory analysis of international migration under the UK's post-Brexit immigration system</w:t>
      </w:r>
    </w:p>
    <w:p>
      <w:pPr>
        <w:spacing w:before="0" w:after="80" w:line="252" w:lineRule="auto"/>
      </w:pPr>
      <w:r>
        <w:rPr>
          <w:rFonts w:ascii="Arial" w:hAnsi="Arial"/>
          <w:b/>
          <w:color w:val="404040"/>
          <w:sz w:val="20"/>
        </w:rPr>
        <w:t xml:space="preserve">Datasets used: </w:t>
      </w:r>
      <w:r>
        <w:rPr>
          <w:rFonts w:ascii="Arial" w:hAnsi="Arial"/>
          <w:color w:val="404040"/>
          <w:sz w:val="20"/>
        </w:rPr>
        <w:t>Office for National Statistics: Census 2021 England and Wales</w:t>
      </w:r>
    </w:p>
    <w:tbl>
      <w:tblPr>
        <w:tblW w:type="auto" w:w="0"/>
        <w:jc w:val="center"/>
        <w:tblLayout w:type="fixed"/>
        <w:tblLook w:firstColumn="1" w:firstRow="1" w:lastColumn="0" w:lastRow="0" w:noHBand="0" w:noVBand="1" w:val="04A0"/>
      </w:tblPr>
      <w:tblGrid>
        <w:gridCol w:w="9524"/>
      </w:tblGrid>
      <w:tr>
        <w:trPr>
          <w:cantSplit/>
        </w:trPr>
        <w:tc>
          <w:tcPr>
            <w:tcW w:type="dxa" w:w="10200"/>
            <w:shd w:fill="D9EAF7"/>
            <w:tcMar>
              <w:top w:w="70" w:type="dxa"/>
              <w:start w:w="100" w:type="dxa"/>
              <w:bottom w:w="70" w:type="dxa"/>
              <w:end w:w="100" w:type="dxa"/>
            </w:tcMar>
            <w:tcBorders>
              <w:bottom w:val="single" w:sz="4" w:color="B7B7B7"/>
            </w:tcBorders>
          </w:tcPr>
          <w:p>
            <w:r>
              <w:rPr>
                <w:rFonts w:ascii="Arial" w:hAnsi="Arial"/>
                <w:b/>
                <w:color w:val="404040"/>
                <w:sz w:val="19"/>
              </w:rPr>
              <w:t>Settled instructor reading</w:t>
            </w:r>
          </w:p>
        </w:tc>
      </w:tr>
    </w:tbl>
    <w:tbl>
      <w:tblPr>
        <w:tblW w:type="auto" w:w="0"/>
        <w:jc w:val="center"/>
        <w:tblLayout w:type="fixed"/>
        <w:tblLook w:firstColumn="1" w:firstRow="1" w:lastColumn="0" w:lastRow="0" w:noHBand="0" w:noVBand="1" w:val="04A0"/>
      </w:tblPr>
      <w:tblGrid>
        <w:gridCol w:w="2353"/>
        <w:gridCol w:w="7172"/>
      </w:tblGrid>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Research Domain(s)</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Migration &amp; Demographics</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Analytical Purpose(s)</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Descriptive Monitoring</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Demographic disparities / equity</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No</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COVID-19 / pandemic</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No</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Register sufficiency</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Sufficient</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Taxonomy fit</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Fit</w:t>
            </w:r>
          </w:p>
        </w:tc>
      </w:tr>
      <w:tr>
        <w:trPr>
          <w:cantSplit/>
          <w:cantSplit/>
        </w:trPr>
        <w:tc>
          <w:tcPr>
            <w:tcW w:type="dxa" w:w="2353"/>
            <w:shd w:fill="F2F2F2"/>
            <w:tcMar>
              <w:top w:w="55" w:type="dxa"/>
              <w:start w:w="80" w:type="dxa"/>
              <w:bottom w:w="55" w:type="dxa"/>
              <w:end w:w="80" w:type="dxa"/>
            </w:tcMar>
            <w:tcBorders>
              <w:bottom w:val="single" w:sz="3" w:color="D9D9D9"/>
            </w:tcBorders>
          </w:tcPr>
          <w:p>
            <w:r>
              <w:rPr>
                <w:rFonts w:ascii="Arial" w:hAnsi="Arial"/>
                <w:b/>
                <w:color w:val="404040"/>
                <w:sz w:val="17"/>
              </w:rPr>
              <w:t>Confidence</w:t>
            </w:r>
          </w:p>
        </w:tc>
        <w:tc>
          <w:tcPr>
            <w:tcW w:type="dxa" w:w="7172"/>
            <w:tcMar>
              <w:top w:w="55" w:type="dxa"/>
              <w:start w:w="80" w:type="dxa"/>
              <w:bottom w:w="55" w:type="dxa"/>
              <w:end w:w="80" w:type="dxa"/>
            </w:tcMar>
            <w:tcBorders>
              <w:bottom w:val="single" w:sz="3" w:color="D9D9D9"/>
            </w:tcBorders>
          </w:tcPr>
          <w:p>
            <w:r>
              <w:rPr>
                <w:rFonts w:ascii="Arial" w:hAnsi="Arial"/>
                <w:color w:val="404040"/>
                <w:sz w:val="17"/>
              </w:rPr>
              <w:t>High</w:t>
            </w:r>
          </w:p>
        </w:tc>
      </w:tr>
    </w:tbl>
    <w:p>
      <w:pPr>
        <w:spacing w:before="100" w:after="40" w:line="252" w:lineRule="auto"/>
      </w:pPr>
      <w:r>
        <w:rPr>
          <w:rFonts w:ascii="Arial" w:hAnsi="Arial"/>
          <w:b/>
          <w:color w:val="1F4E78"/>
          <w:sz w:val="21"/>
        </w:rPr>
        <w:t>Rationale by field</w:t>
      </w:r>
    </w:p>
    <w:p>
      <w:pPr>
        <w:spacing w:before="0" w:after="40" w:line="252" w:lineRule="auto"/>
      </w:pPr>
      <w:r>
        <w:rPr>
          <w:rFonts w:ascii="Arial" w:hAnsi="Arial"/>
          <w:b/>
          <w:color w:val="404040"/>
          <w:sz w:val="20"/>
        </w:rPr>
        <w:t xml:space="preserve">Research Domain(s): </w:t>
      </w:r>
      <w:r>
        <w:rPr>
          <w:rFonts w:ascii="Arial" w:hAnsi="Arial"/>
          <w:color w:val="404040"/>
          <w:sz w:val="20"/>
        </w:rPr>
        <w:t>International migration is the explicit substantive object, directly supporting Migration &amp; Demographics.</w:t>
      </w:r>
    </w:p>
    <w:p>
      <w:pPr>
        <w:spacing w:before="0" w:after="40" w:line="252" w:lineRule="auto"/>
      </w:pPr>
      <w:r>
        <w:rPr>
          <w:rFonts w:ascii="Arial" w:hAnsi="Arial"/>
          <w:b/>
          <w:color w:val="404040"/>
          <w:sz w:val="20"/>
        </w:rPr>
        <w:t xml:space="preserve">Analytical Purpose(s): </w:t>
      </w:r>
      <w:r>
        <w:rPr>
          <w:rFonts w:ascii="Arial" w:hAnsi="Arial"/>
          <w:color w:val="404040"/>
          <w:sz w:val="20"/>
        </w:rPr>
        <w:t>“Analysis of international migration under” the post-Brexit system supports characterising migration patterns in a policy context. The entry does not explicitly say that the immigration system’s impact is being evaluated, so Descriptive Monitoring is the best-supported purpose.</w:t>
      </w:r>
    </w:p>
    <w:p>
      <w:pPr>
        <w:spacing w:before="0" w:after="40" w:line="252" w:lineRule="auto"/>
      </w:pPr>
      <w:r>
        <w:rPr>
          <w:rFonts w:ascii="Arial" w:hAnsi="Arial"/>
          <w:b/>
          <w:color w:val="404040"/>
          <w:sz w:val="20"/>
        </w:rPr>
        <w:t xml:space="preserve">Tags: </w:t>
      </w:r>
      <w:r>
        <w:rPr>
          <w:rFonts w:ascii="Arial" w:hAnsi="Arial"/>
          <w:color w:val="404040"/>
          <w:sz w:val="20"/>
        </w:rPr>
        <w:t>Migration is a substantive domain, but the equity tag requires a central comparison of outcomes across demographic or equality-relevant groups. No such disparity comparison is stated. There is no pandemic framing.</w:t>
      </w:r>
    </w:p>
    <w:p>
      <w:pPr>
        <w:spacing w:before="0" w:after="60" w:line="252" w:lineRule="auto"/>
      </w:pPr>
      <w:r>
        <w:rPr>
          <w:rFonts w:ascii="Arial" w:hAnsi="Arial"/>
          <w:b/>
          <w:color w:val="404040"/>
          <w:sz w:val="20"/>
        </w:rPr>
        <w:t xml:space="preserve">Sufficiency, taxonomy fit and confidence: </w:t>
      </w:r>
      <w:r>
        <w:rPr>
          <w:rFonts w:ascii="Arial" w:hAnsi="Arial"/>
          <w:color w:val="404040"/>
          <w:sz w:val="20"/>
        </w:rPr>
        <w:t>The title clearly identifies the object and a descriptive analytical framing, and the Census dataset is compatible with that reading.</w:t>
      </w:r>
    </w:p>
    <w:tbl>
      <w:tblPr>
        <w:tblW w:type="auto" w:w="0"/>
        <w:jc w:val="center"/>
        <w:tblLayout w:type="fixed"/>
        <w:tblLook w:firstColumn="1" w:firstRow="1" w:lastColumn="0" w:lastRow="0" w:noHBand="0" w:noVBand="1" w:val="04A0"/>
      </w:tblPr>
      <w:tblGrid>
        <w:gridCol w:w="2098"/>
        <w:gridCol w:w="7427"/>
      </w:tblGrid>
      <w:tr>
        <w:trPr>
          <w:cantSplit/>
          <w:cantSplit/>
        </w:trPr>
        <w:tc>
          <w:tcPr>
            <w:tcW w:type="dxa" w:w="5100"/>
            <w:shd w:fill="FFF2CC"/>
            <w:tcMar>
              <w:top w:w="70" w:type="dxa"/>
              <w:start w:w="85" w:type="dxa"/>
              <w:bottom w:w="70" w:type="dxa"/>
              <w:end w:w="85" w:type="dxa"/>
            </w:tcMar>
            <w:tcBorders>
              <w:bottom w:val="single" w:sz="3" w:color="D9D9D9"/>
            </w:tcBorders>
          </w:tcPr>
          <w:p>
            <w:r>
              <w:rPr>
                <w:rFonts w:ascii="Arial" w:hAnsi="Arial"/>
                <w:b/>
                <w:color w:val="404040"/>
                <w:sz w:val="17"/>
              </w:rPr>
              <w:t>Boundary / watch for</w:t>
            </w:r>
          </w:p>
        </w:tc>
        <w:tc>
          <w:tcPr>
            <w:tcW w:type="dxa" w:w="5100"/>
            <w:shd w:fill="FFFDF5"/>
            <w:tcMar>
              <w:top w:w="70" w:type="dxa"/>
              <w:start w:w="85" w:type="dxa"/>
              <w:bottom w:w="70" w:type="dxa"/>
              <w:end w:w="85" w:type="dxa"/>
            </w:tcMar>
            <w:tcBorders>
              <w:bottom w:val="single" w:sz="3" w:color="D9D9D9"/>
            </w:tcBorders>
          </w:tcPr>
          <w:p>
            <w:r>
              <w:rPr>
                <w:rFonts w:ascii="Arial" w:hAnsi="Arial"/>
                <w:color w:val="404040"/>
                <w:sz w:val="17"/>
              </w:rPr>
              <w:t>Do not assign Policy Evaluation solely because the project is situated under a named policy system. Context is not the same as an explicit evaluation operation.</w:t>
            </w:r>
          </w:p>
        </w:tc>
      </w:tr>
      <w:tr>
        <w:trPr>
          <w:cantSplit/>
          <w:cantSplit/>
        </w:trPr>
        <w:tc>
          <w:tcPr>
            <w:tcW w:type="dxa" w:w="5100"/>
            <w:shd w:fill="EFF6FB"/>
            <w:tcMar>
              <w:top w:w="70" w:type="dxa"/>
              <w:start w:w="85" w:type="dxa"/>
              <w:bottom w:w="70" w:type="dxa"/>
              <w:end w:w="85" w:type="dxa"/>
            </w:tcMar>
            <w:tcBorders>
              <w:bottom w:val="single" w:sz="3" w:color="D9D9D9"/>
            </w:tcBorders>
          </w:tcPr>
          <w:p>
            <w:r>
              <w:rPr>
                <w:rFonts w:ascii="Arial" w:hAnsi="Arial"/>
                <w:b/>
                <w:color w:val="404040"/>
                <w:sz w:val="17"/>
              </w:rPr>
              <w:t>Instrument feature tested</w:t>
            </w:r>
          </w:p>
        </w:tc>
        <w:tc>
          <w:tcPr>
            <w:tcW w:type="dxa" w:w="5100"/>
            <w:shd w:fill="F7FBFE"/>
            <w:tcMar>
              <w:top w:w="70" w:type="dxa"/>
              <w:start w:w="85" w:type="dxa"/>
              <w:bottom w:w="70" w:type="dxa"/>
              <w:end w:w="85" w:type="dxa"/>
            </w:tcMar>
            <w:tcBorders>
              <w:bottom w:val="single" w:sz="3" w:color="D9D9D9"/>
            </w:tcBorders>
          </w:tcPr>
          <w:p>
            <w:r>
              <w:rPr>
                <w:rFonts w:ascii="Arial" w:hAnsi="Arial"/>
                <w:color w:val="404040"/>
                <w:sz w:val="17"/>
              </w:rPr>
              <w:t>A straightforward migration case, equity-tag restraint, and avoidance of policy evaluation from contextual wording.</w:t>
            </w:r>
          </w:p>
        </w:tc>
      </w:tr>
    </w:tbl>
    <w:p>
      <w:pPr>
        <w:spacing w:before="0" w:after="40" w:line="252" w:lineRule="auto"/>
      </w:pPr>
    </w:p>
    <w:sectPr w:rsidR="00FC693F" w:rsidRPr="0006063C" w:rsidSect="00034616">
      <w:headerReference w:type="default" r:id="rId9"/>
      <w:footerReference w:type="default" r:id="rId10"/>
      <w:pgSz w:w="12240" w:h="15840"/>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6666"/>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666666"/>
        <w:sz w:val="16"/>
      </w:rPr>
      <w:t>DEA register classification validation | TRAINER-ONLY PILOT DEBRIEF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8"/>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 pilot projects: trainer debrief reference</dc:title>
  <dc:subject>Instructor rationales for the ten independent coder-pilot projects</dc:subject>
  <dc:creator>Balint Stewart</dc:creator>
  <cp:keywords>DEA register; validation; pilot; trainer; taxonomy; REDCap</cp:keywords>
  <dc:description>generated by python-docx</dc:description>
  <cp:lastModifiedBy/>
  <cp:revision>1</cp:revision>
  <dcterms:created xsi:type="dcterms:W3CDTF">2013-12-23T23:15:00Z</dcterms:created>
  <dcterms:modified xsi:type="dcterms:W3CDTF">2013-12-23T23:15:00Z</dcterms:modified>
  <cp:category/>
</cp:coreProperties>
</file>