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1018" w14:textId="77777777" w:rsidR="009221D1" w:rsidRDefault="00113FAB">
      <w:pPr>
        <w:pStyle w:val="Title"/>
      </w:pPr>
      <w:r>
        <w:t>Validation protocol for LLM-assisted classification of the DEA accredited research projects register</w:t>
      </w:r>
    </w:p>
    <w:p w14:paraId="367A50DF" w14:textId="77777777" w:rsidR="009221D1" w:rsidRDefault="00113FAB">
      <w:r>
        <w:t>Review candidate v0.13 | prepared 22 July 2026 | not frozen, registered, or authorised for formal sampling, assignment import, or coding</w:t>
      </w:r>
    </w:p>
    <w:p w14:paraId="0D7D40EC" w14:textId="77777777" w:rsidR="009221D1" w:rsidRDefault="00113FAB">
      <w:pPr>
        <w:pStyle w:val="Heading1"/>
      </w:pPr>
      <w:r>
        <w:t>1. Background and rationale</w:t>
      </w:r>
    </w:p>
    <w:p w14:paraId="19306345" w14:textId="77777777" w:rsidR="009221D1" w:rsidRDefault="00113FAB">
      <w:pPr>
        <w:spacing w:after="0" w:line="276" w:lineRule="auto"/>
        <w:rPr>
          <w:sz w:val="22"/>
          <w:szCs w:val="22"/>
        </w:rPr>
      </w:pPr>
      <w:r>
        <w:rPr>
          <w:sz w:val="22"/>
          <w:szCs w:val="22"/>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14:paraId="705D171E" w14:textId="77777777" w:rsidR="009221D1" w:rsidRDefault="009221D1">
      <w:pPr>
        <w:spacing w:after="0" w:line="276" w:lineRule="auto"/>
        <w:rPr>
          <w:sz w:val="22"/>
          <w:szCs w:val="22"/>
        </w:rPr>
      </w:pPr>
    </w:p>
    <w:p w14:paraId="3E4CDDEC" w14:textId="77777777" w:rsidR="009221D1" w:rsidRDefault="00113FAB">
      <w:pPr>
        <w:spacing w:after="0" w:line="276" w:lineRule="auto"/>
      </w:pPr>
      <w:r>
        <w:t>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14:paraId="25EA82AC" w14:textId="77777777" w:rsidR="009221D1" w:rsidRDefault="009221D1">
      <w:pPr>
        <w:spacing w:after="0" w:line="276" w:lineRule="auto"/>
      </w:pPr>
    </w:p>
    <w:p w14:paraId="30A3D574" w14:textId="77777777" w:rsidR="009221D1" w:rsidRDefault="00113FAB">
      <w:pPr>
        <w:rPr>
          <w:sz w:val="22"/>
          <w:szCs w:val="22"/>
        </w:rPr>
      </w:pPr>
      <w:r>
        <w:t>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14:paraId="18409C3C" w14:textId="77777777" w:rsidR="009221D1" w:rsidRDefault="00113FAB">
      <w:pPr>
        <w:pStyle w:val="Heading1"/>
      </w:pPr>
      <w:r>
        <w:t>2. Study objects and frozen classification system</w:t>
      </w:r>
    </w:p>
    <w:p w14:paraId="01B65C27" w14:textId="77777777" w:rsidR="009221D1" w:rsidRDefault="00113FAB">
      <w:r>
        <w:rPr>
          <w:b/>
          <w:bCs/>
        </w:rPr>
        <w:t>Population of records.</w:t>
      </w:r>
      <w:r>
        <w:t xml:space="preserve"> DEA-accredited research-project records from the cleaned UKSA public-register snapshot used for the dashboard release. The exact source file, cleaning-script version, register date, input hashes, and code commit hash will be recorded before sampling.</w:t>
      </w:r>
    </w:p>
    <w:p w14:paraId="4BF9FA0A" w14:textId="77777777" w:rsidR="009221D1" w:rsidRDefault="00113FAB">
      <w:r>
        <w:rPr>
          <w:b/>
          <w:bCs/>
        </w:rPr>
        <w:t>Unit of analysis.</w:t>
      </w:r>
      <w: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1,308 retained register record-units representing 1,304 unique official Project IDs.</w:t>
      </w:r>
    </w:p>
    <w:p w14:paraId="4FFA427A" w14:textId="77777777" w:rsidR="009221D1" w:rsidRDefault="00113FAB">
      <w:r>
        <w:rPr>
          <w:b/>
          <w:bCs/>
        </w:rPr>
        <w:t>Classifier inputs.</w:t>
      </w:r>
      <w: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14:paraId="4ED521EE" w14:textId="77777777" w:rsidR="009221D1" w:rsidRDefault="00113FAB">
      <w:r>
        <w:rPr>
          <w:b/>
          <w:bCs/>
        </w:rPr>
        <w:t>Frozen model, prompt, and taxonomy versions.</w:t>
      </w:r>
      <w: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14:paraId="6183789B" w14:textId="77777777" w:rsidR="009221D1" w:rsidRDefault="00113FAB">
      <w:r>
        <w:rPr>
          <w:b/>
          <w:bCs/>
        </w:rPr>
        <w:t>Classification outputs under validation.</w:t>
      </w:r>
    </w:p>
    <w:p w14:paraId="0BB6C7A6" w14:textId="77777777" w:rsidR="009221D1" w:rsidRDefault="00113FAB">
      <w:pPr>
        <w:spacing w:after="50"/>
        <w:ind w:left="397" w:hanging="255"/>
      </w:pPr>
      <w:r>
        <w:t>1. Research Domain(s): assign one or more taxonomy domains, or Unclear from Register Entry where no Research Domain is supported by the public entry.</w:t>
      </w:r>
    </w:p>
    <w:p w14:paraId="7E15F003" w14:textId="77777777" w:rsidR="009221D1" w:rsidRDefault="00113FAB">
      <w:pPr>
        <w:spacing w:after="50"/>
        <w:ind w:left="397" w:hanging="255"/>
      </w:pPr>
      <w:r>
        <w:t>2. Analytical Purpose(s): assign one or at most two taxonomy purposes, or Unclear from Register Entry where no Analytical Purpose is supported by the public entry.</w:t>
      </w:r>
    </w:p>
    <w:p w14:paraId="2AA59296" w14:textId="77777777" w:rsidR="009221D1" w:rsidRDefault="00113FAB">
      <w:pPr>
        <w:spacing w:after="50"/>
        <w:ind w:left="397" w:hanging="255"/>
      </w:pPr>
      <w:r>
        <w:lastRenderedPageBreak/>
        <w:t>3. Cross-cutting tags: COVID-19 / pandemic and demographic disparities / equity, each coded yes or no.</w:t>
      </w:r>
    </w:p>
    <w:p w14:paraId="2CF542C2" w14:textId="77777777" w:rsidR="009221D1" w:rsidRDefault="00113FAB">
      <w:pPr>
        <w:pStyle w:val="Heading1"/>
      </w:pPr>
      <w:r>
        <w:t>3. Research questions</w:t>
      </w:r>
    </w:p>
    <w:p w14:paraId="580EE424" w14:textId="77777777" w:rsidR="009221D1" w:rsidRDefault="00113FAB">
      <w:r>
        <w:rPr>
          <w:b/>
          <w:bCs/>
        </w:rPr>
        <w:t>RQ1. Register-only validity.</w:t>
      </w:r>
      <w: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14:paraId="4E5326D9" w14:textId="77777777" w:rsidR="009221D1" w:rsidRDefault="00113FAB">
      <w:r>
        <w:rPr>
          <w:b/>
          <w:bCs/>
        </w:rPr>
        <w:t xml:space="preserve">RQ2. Register-sufficiency sensitivity analyses. </w:t>
      </w:r>
      <w:r>
        <w:t xml:space="preserve">How does production-model agreement with trained coders compare with human-human agreement within the broad register-usable and strict register-sufficient subsets defined in Section 8.3? </w:t>
      </w:r>
    </w:p>
    <w:p w14:paraId="670630A4" w14:textId="77777777" w:rsidR="009221D1" w:rsidRDefault="00113FAB">
      <w:r>
        <w:rPr>
          <w:b/>
          <w:bCs/>
        </w:rPr>
        <w:t>RQ3. Trained-panel reliability benchmark.</w:t>
      </w:r>
      <w: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14:paraId="7384ED4D" w14:textId="77777777" w:rsidR="009221D1" w:rsidRDefault="00113FAB">
      <w:r>
        <w:rPr>
          <w:b/>
          <w:bCs/>
        </w:rPr>
        <w:t>RQ4. Model stability and model-choice sensitivity.</w:t>
      </w:r>
      <w:r>
        <w:t xml:space="preserve"> How much do classifications vary across independent runs of the production model (run-to-run variation) and across model providers (cross-model variation)?</w:t>
      </w:r>
    </w:p>
    <w:p w14:paraId="4D908820" w14:textId="77777777" w:rsidR="009221D1" w:rsidRDefault="00113FAB">
      <w:r>
        <w:rPr>
          <w:b/>
          <w:bCs/>
        </w:rPr>
        <w:t>RQ5. Register sufficiency.</w:t>
      </w:r>
      <w:r>
        <w:t xml:space="preserve"> What proportion of register entries provide enough information, using title and datasets alone, to support confident classification by trained coders?</w:t>
      </w:r>
    </w:p>
    <w:p w14:paraId="3CC315DB" w14:textId="77777777" w:rsidR="009221D1" w:rsidRDefault="00113FAB">
      <w:r>
        <w:rPr>
          <w:b/>
          <w:bCs/>
        </w:rPr>
        <w:t xml:space="preserve">RQ6. Project-informed fit. </w:t>
      </w:r>
      <w:r>
        <w:t xml:space="preserve">Among records reviewed through the sequence-based project-owner stream, what proportion of production-model-proposed labels are judged to fit, not fit or uncertain, and how often do owners identify missing labels or public-entry insufficiency? The same findings will be reported separately and descriptively for supplementary purposive reviews. </w:t>
      </w:r>
    </w:p>
    <w:p w14:paraId="232A516B" w14:textId="77777777" w:rsidR="009221D1" w:rsidRDefault="00113FAB">
      <w:r>
        <w:rPr>
          <w:b/>
          <w:bCs/>
        </w:rPr>
        <w:t>RQ7. Analytically important tag validity.</w:t>
      </w:r>
      <w:r>
        <w:t xml:space="preserve"> How reliably are the COVID-19 / pandemic and demographic disparities / equity tags identified within the random baseline and enriched hard-case samples?</w:t>
      </w:r>
    </w:p>
    <w:p w14:paraId="29824E10" w14:textId="77777777" w:rsidR="009221D1" w:rsidRDefault="00113FAB">
      <w:r>
        <w:rPr>
          <w:b/>
          <w:bCs/>
        </w:rPr>
        <w:t>RQ8. Disagreement-source diagnosis.</w:t>
      </w:r>
      <w:r>
        <w:t xml:space="preserve"> Among cases selected for adjudication, how frequently are the pre-specified, non-mutually-exclusive disagreement-source families assigned, and what recurring mechanisms are identified?</w:t>
      </w:r>
    </w:p>
    <w:p w14:paraId="06F98DA3" w14:textId="77777777" w:rsidR="009221D1" w:rsidRDefault="00113FAB">
      <w:pPr>
        <w:pStyle w:val="Heading1"/>
      </w:pPr>
      <w:r>
        <w:t>4. Study design overview and pre-existing model evidence</w:t>
      </w:r>
    </w:p>
    <w:p w14:paraId="2EBB672E" w14:textId="77777777" w:rsidR="009221D1" w:rsidRDefault="00113FAB">
      <w: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14:paraId="667215B1" w14:textId="77777777" w:rsidR="009221D1" w:rsidRDefault="00113FAB">
      <w:r>
        <w:rPr>
          <w:noProof/>
        </w:rPr>
        <w:lastRenderedPageBreak/>
        <w:drawing>
          <wp:inline distT="114300" distB="114300" distL="114300" distR="114300" wp14:anchorId="34388FC9" wp14:editId="78F0E736">
            <wp:extent cx="6746756" cy="34947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746756" cy="3494723"/>
                    </a:xfrm>
                    <a:prstGeom prst="rect">
                      <a:avLst/>
                    </a:prstGeom>
                    <a:ln/>
                  </pic:spPr>
                </pic:pic>
              </a:graphicData>
            </a:graphic>
          </wp:inline>
        </w:drawing>
      </w:r>
    </w:p>
    <w:p w14:paraId="41B71A2B" w14:textId="77777777" w:rsidR="009221D1" w:rsidRDefault="009221D1">
      <w:pPr>
        <w:pStyle w:val="Heading2"/>
      </w:pPr>
    </w:p>
    <w:p w14:paraId="2873A88F" w14:textId="77777777" w:rsidR="009221D1" w:rsidRDefault="00113FAB">
      <w:pPr>
        <w:pStyle w:val="Heading2"/>
      </w:pPr>
      <w:r>
        <w:t>4.1 Design overview</w:t>
      </w:r>
    </w:p>
    <w:p w14:paraId="78162D9E" w14:textId="77777777" w:rsidR="009221D1" w:rsidRDefault="00113FAB">
      <w:r>
        <w:t>The study proceeds through the following pipeline:</w:t>
      </w:r>
    </w:p>
    <w:p w14:paraId="05E10508" w14:textId="77777777" w:rsidR="009221D1" w:rsidRDefault="00113FAB">
      <w:pPr>
        <w:spacing w:after="50"/>
        <w:ind w:left="397" w:hanging="255"/>
      </w:pPr>
      <w:r>
        <w:t>1. Freeze the cleaned register, production output, prompt, taxonomy, and comparison artefacts, and remove training and pilot records.</w:t>
      </w:r>
    </w:p>
    <w:p w14:paraId="248AB67C" w14:textId="77777777" w:rsidR="009221D1" w:rsidRDefault="00113FAB">
      <w:pPr>
        <w:spacing w:after="50"/>
        <w:ind w:left="397" w:hanging="255"/>
      </w:pPr>
      <w:r>
        <w:t>2. Draw the random-baseline, hard-case, and held-back reserve samples using fixed seeds.</w:t>
      </w:r>
    </w:p>
    <w:p w14:paraId="78877DD2" w14:textId="77777777" w:rsidR="009221D1" w:rsidRDefault="00113FAB">
      <w:pPr>
        <w:spacing w:after="50"/>
        <w:ind w:left="397" w:hanging="255"/>
      </w:pPr>
      <w:r>
        <w:t>3. Conduct blinded scratch-coder classification and separate project-owner review.</w:t>
      </w:r>
    </w:p>
    <w:p w14:paraId="00F2EC23" w14:textId="77777777" w:rsidR="009221D1" w:rsidRDefault="00113FAB">
      <w:pPr>
        <w:spacing w:after="50"/>
        <w:ind w:left="397" w:hanging="255"/>
      </w:pPr>
      <w:r>
        <w:t>4. Estimate replacement-panel agreement on the baseline and report the hard-case and other diagnostic analyses separately.</w:t>
      </w:r>
    </w:p>
    <w:p w14:paraId="02599E29" w14:textId="77777777" w:rsidR="009221D1" w:rsidRDefault="00113FAB">
      <w:pPr>
        <w:spacing w:after="50"/>
        <w:ind w:left="397" w:hanging="255"/>
      </w:pPr>
      <w:r>
        <w:t>5. Diagnose selected disagreements through source-masked and source-revealed adjudication.</w:t>
      </w:r>
    </w:p>
    <w:p w14:paraId="43153B26" w14:textId="77777777" w:rsidR="009221D1" w:rsidRDefault="00113FAB">
      <w:pPr>
        <w:spacing w:after="50"/>
        <w:ind w:left="397" w:hanging="255"/>
      </w:pPr>
      <w:r>
        <w:t>6. Apply the preregistered release framework and obtain senior internal sign-off.</w:t>
      </w:r>
    </w:p>
    <w:p w14:paraId="208B053F" w14:textId="77777777" w:rsidR="009221D1" w:rsidRDefault="00113FAB">
      <w:pPr>
        <w:pStyle w:val="Heading2"/>
      </w:pPr>
      <w:r>
        <w:t>4.2 Production-model run-to-run stability (completed; pre-existing evidence)</w:t>
      </w:r>
    </w:p>
    <w:p w14:paraId="1055045A" w14:textId="77777777" w:rsidR="009221D1" w:rsidRDefault="00113FAB">
      <w:r>
        <w:t>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14:paraId="2894A898" w14:textId="77777777" w:rsidR="009221D1" w:rsidRDefault="00113FAB">
      <w:r>
        <w:t>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14:paraId="6A149606" w14:textId="77777777" w:rsidR="009221D1" w:rsidRDefault="00113FAB">
      <w:r>
        <w:t>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14:paraId="32CC56F9" w14:textId="77777777" w:rsidR="009221D1" w:rsidRDefault="00113FAB">
      <w:pPr>
        <w:pStyle w:val="Heading2"/>
      </w:pPr>
      <w:r>
        <w:t>4.3 Cross-model comparison (completed; pre-existing evidence)</w:t>
      </w:r>
    </w:p>
    <w:p w14:paraId="64314C6C" w14:textId="77777777" w:rsidR="009221D1" w:rsidRDefault="00113FAB">
      <w:r>
        <w:t>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14:paraId="524DAD64" w14:textId="77777777" w:rsidR="009221D1" w:rsidRDefault="00113FAB">
      <w:r>
        <w:t>Research Domain exact-set agreement was 81.4%, with mean Jaccard 0.904. Analytical Purpose exact-set agreement was 84.7%, with mean Jaccard 0.885. GPT-5.5 returned zero invalid records.</w:t>
      </w:r>
    </w:p>
    <w:p w14:paraId="0901AD39" w14:textId="77777777" w:rsidR="009221D1" w:rsidRDefault="00113FAB">
      <w:r>
        <w:t>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14:paraId="205F19A8" w14:textId="77777777" w:rsidR="009221D1" w:rsidRDefault="00113FAB">
      <w: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14:paraId="7B68137A" w14:textId="77777777" w:rsidR="009221D1" w:rsidRDefault="009221D1"/>
    <w:p w14:paraId="62C01A2B" w14:textId="77777777" w:rsidR="009221D1" w:rsidRDefault="00113FAB">
      <w:pPr>
        <w:pStyle w:val="Heading1"/>
      </w:pPr>
      <w:r>
        <w:t>5. Sampling and allocation</w:t>
      </w:r>
    </w:p>
    <w:p w14:paraId="7EB8BE5B" w14:textId="77777777" w:rsidR="009221D1" w:rsidRDefault="00113FAB">
      <w:pPr>
        <w:pStyle w:val="Heading2"/>
      </w:pPr>
      <w:r>
        <w:t>5.1 Sampling frame and training/pilot exclusion set</w:t>
      </w:r>
    </w:p>
    <w:p w14:paraId="106BA7FE" w14:textId="77777777" w:rsidR="009221D1" w:rsidRDefault="00113FAB">
      <w:r>
        <w:t>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14:paraId="0D18635D" w14:textId="77777777" w:rsidR="009221D1" w:rsidRDefault="00113FAB">
      <w:r>
        <w:t>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14:paraId="7BA8A113" w14:textId="77777777" w:rsidR="009221D1" w:rsidRDefault="00113FAB">
      <w:pPr>
        <w:pStyle w:val="Heading2"/>
      </w:pPr>
      <w:r>
        <w:t>5.2 Random baseline sample</w:t>
      </w:r>
    </w:p>
    <w:p w14:paraId="0F38623F" w14:textId="77777777" w:rsidR="009221D1" w:rsidRDefault="00113FAB">
      <w:r>
        <w:rPr>
          <w:b/>
          <w:bCs/>
        </w:rPr>
        <w:t>Target size:</w:t>
      </w:r>
      <w: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14:paraId="011DC69C" w14:textId="77777777" w:rsidR="009221D1" w:rsidRDefault="00113FAB">
      <w:pPr>
        <w:pStyle w:val="Heading2"/>
      </w:pPr>
      <w:r>
        <w:t>5.3 Enriched hard-case sample: domain and purpose disagreements</w:t>
      </w:r>
    </w:p>
    <w:p w14:paraId="6E58F93B" w14:textId="77777777" w:rsidR="009221D1" w:rsidRDefault="00113FAB">
      <w:r>
        <w:rPr>
          <w:b/>
          <w:bCs/>
        </w:rPr>
        <w:t>Target size:</w:t>
      </w:r>
      <w:r>
        <w:t xml:space="preserve"> 75 records. </w:t>
      </w:r>
    </w:p>
    <w:p w14:paraId="665E2CDE" w14:textId="77777777" w:rsidR="009221D1" w:rsidRDefault="00113FAB">
      <w:r>
        <w:rPr>
          <w:b/>
          <w:bCs/>
        </w:rPr>
        <w:t>Purpose</w:t>
      </w:r>
      <w:r>
        <w:t>: diagnose failure modes and boundary cases. This sample will not be used to estimate register-wide error. The sample is deliberately enriched and balanced for diagnostic value.</w:t>
      </w:r>
    </w:p>
    <w:p w14:paraId="45EC1D56" w14:textId="77777777" w:rsidR="009221D1" w:rsidRDefault="00113FAB">
      <w:r>
        <w:rPr>
          <w:b/>
          <w:bCs/>
        </w:rPr>
        <w:t xml:space="preserve">Frame: </w:t>
      </w:r>
      <w:r>
        <w:t>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14:paraId="0E2E3A2C" w14:textId="77777777" w:rsidR="009221D1" w:rsidRDefault="00113FAB">
      <w:r>
        <w:rPr>
          <w:b/>
          <w:bCs/>
        </w:rPr>
        <w:t>Selection:</w:t>
      </w:r>
      <w: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14:paraId="1E7A59DE" w14:textId="77777777" w:rsidR="009221D1" w:rsidRDefault="00113FAB">
      <w:r>
        <w:rPr>
          <w:b/>
          <w:bCs/>
        </w:rPr>
        <w:t xml:space="preserve">Cross-cutting tags: </w:t>
      </w:r>
      <w:r>
        <w:t>The two tags are assessed within the random baseline and hard-case samples. The 37 tag-only model disagreements remain pre-existing descriptive comparison information and are not separately sampled.</w:t>
      </w:r>
    </w:p>
    <w:p w14:paraId="56D64FBF" w14:textId="77777777" w:rsidR="009221D1" w:rsidRDefault="00113FAB">
      <w:pPr>
        <w:pStyle w:val="Heading2"/>
      </w:pPr>
      <w:r>
        <w:t>5.4 Project-owner review sample</w:t>
      </w:r>
    </w:p>
    <w:p w14:paraId="76BE31C4" w14:textId="77777777" w:rsidR="009221D1" w:rsidRDefault="00113FAB">
      <w:pPr>
        <w:spacing w:after="240"/>
      </w:pPr>
      <w:r>
        <w:rPr>
          <w:b/>
          <w:bCs/>
        </w:rPr>
        <w:t>Purpose:</w:t>
      </w:r>
      <w:r>
        <w:t xml:space="preserve"> obtain project-informed evidence on proposed-label fit, missing labels, public-entry sufficiency and taxonomy coverage. This is a purposive, non-probability review stream and will not be used to estimate register-wide classification accuracy.</w:t>
      </w:r>
    </w:p>
    <w:p w14:paraId="7988352B" w14:textId="77777777" w:rsidR="009221D1" w:rsidRDefault="00113FAB">
      <w:pPr>
        <w:spacing w:before="240" w:after="240"/>
      </w:pPr>
      <w:r>
        <w:rPr>
          <w:b/>
          <w:bCs/>
        </w:rPr>
        <w:t>Eligibility:</w:t>
      </w:r>
      <w:r>
        <w:t xml:space="preserve"> the final owner-review frame will be constructed after the official scratch-coder sample and reserve draw. It will include retained register records after excluding the 22 training and pilot records and all held-back scratch-coder reserve records. 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14:paraId="796CB452" w14:textId="77777777" w:rsidR="009221D1" w:rsidRDefault="00113FAB">
      <w:pPr>
        <w:spacing w:after="240"/>
      </w:pPr>
      <w:r>
        <w:rPr>
          <w:b/>
          <w:bCs/>
        </w:rPr>
        <w:t>Researcher-led selection:</w:t>
      </w:r>
      <w: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14:paraId="5A4E97D0" w14:textId="77777777" w:rsidR="009221D1" w:rsidRDefault="00113FAB">
      <w:pPr>
        <w:spacing w:before="240" w:after="240"/>
      </w:pPr>
      <w:r>
        <w:t>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14:paraId="1422E14E" w14:textId="77777777" w:rsidR="009221D1" w:rsidRDefault="00113FAB">
      <w:pPr>
        <w:spacing w:before="240" w:after="240"/>
        <w:rPr>
          <w:b/>
          <w:bCs/>
        </w:rPr>
      </w:pPr>
      <w:r>
        <w:t>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curve—showing the number of eligible records covered by the first N sequence members—will be archived before invitations are issued.</w:t>
      </w:r>
    </w:p>
    <w:p w14:paraId="192A1F8A" w14:textId="77777777" w:rsidR="009221D1" w:rsidRDefault="00113FAB">
      <w:pPr>
        <w:spacing w:before="240" w:after="240"/>
      </w:pPr>
      <w:r>
        <w:rPr>
          <w:b/>
          <w:bCs/>
        </w:rPr>
        <w:t>Sequence-based recruitment:</w:t>
      </w:r>
      <w:r>
        <w:t xml:space="preserve"> the first 10 people in the frozen sequence will be invited within five working days of the frame freeze. Each will be asked to review all eligible records on which they are named, although partial completion will be accepted. Non-responders will receive one reminder approximately 10 calendar days after invitation.</w:t>
      </w:r>
    </w:p>
    <w:p w14:paraId="0008BF70" w14:textId="77777777" w:rsidR="009221D1" w:rsidRDefault="00113FAB">
      <w:pPr>
        <w:spacing w:before="240" w:after="240"/>
      </w:pPr>
      <w:r>
        <w:t>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Recruitment will stop when the target has been reached or after the final checkpoint, although all complete responses subsequently received before data collection closes will be retained. There is no analytical upper cap on completed reviews.</w:t>
      </w:r>
    </w:p>
    <w:p w14:paraId="6AA4D80B" w14:textId="77777777" w:rsidR="009221D1" w:rsidRDefault="00113FAB">
      <w:pPr>
        <w:spacing w:before="240" w:after="240"/>
      </w:pPr>
      <w:r>
        <w:t xml:space="preserve">Twenty-five unique Record IDs with at least one complete sequence-based review is the minimum viable project-owner evidence base. If fewer than 25 records receive a complete sequence-based review, this stream will be reported as limited exploratory evidence and will not be used as substantive support for the release decision. A review is complete where the owner has recorded a verdict for every proposed label on the record and answered the public-entry sufficiency item. </w:t>
      </w:r>
    </w:p>
    <w:p w14:paraId="51010C37" w14:textId="77777777" w:rsidR="009221D1" w:rsidRDefault="00113FAB">
      <w:pPr>
        <w:spacing w:before="240" w:after="240"/>
      </w:pPr>
      <w: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14:paraId="303E88E0" w14:textId="77777777" w:rsidR="009221D1" w:rsidRDefault="00113FAB">
      <w:pPr>
        <w:spacing w:before="240" w:after="240"/>
      </w:pPr>
      <w:r>
        <w:rPr>
          <w:b/>
          <w:bCs/>
        </w:rPr>
        <w:t>Supplementary purposive invitations:</w:t>
      </w:r>
      <w:r>
        <w:t xml:space="preserve"> up to 10 additional named project owners may be invited where there is an existing institutional relationship, a clear stakeholder-engagement rationale, or a specific need to broaden project or organisational coverage. Supplementary selection will not use model classifications, cross-model disagreement, scratch-coder responses, adjudication outcomes or anticipated views about the classification. The reason for each invitation will be recorded before contact. Supplementary respondents must be named researchers on otherwise eligible register records and will review only records on which they are named.</w:t>
      </w:r>
    </w:p>
    <w:p w14:paraId="6A15CC9E" w14:textId="77777777" w:rsidR="009221D1" w:rsidRDefault="00113FAB">
      <w:pPr>
        <w:spacing w:before="240" w:after="240"/>
      </w:pPr>
      <w:r>
        <w:t>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14:paraId="6157C208" w14:textId="77777777" w:rsidR="009221D1" w:rsidRDefault="00113FAB">
      <w:pPr>
        <w:spacing w:before="240" w:after="240"/>
      </w:pPr>
      <w:r>
        <w:t xml:space="preserve">Project-owner data collection will close 42 days after the first invitations are issued. </w:t>
      </w:r>
    </w:p>
    <w:p w14:paraId="7EBB97AD" w14:textId="77777777" w:rsidR="009221D1" w:rsidRDefault="009221D1">
      <w:pPr>
        <w:spacing w:before="240" w:after="240"/>
        <w:rPr>
          <w:b/>
          <w:bCs/>
        </w:rPr>
      </w:pPr>
    </w:p>
    <w:p w14:paraId="7DB6C1D4" w14:textId="77777777" w:rsidR="009221D1" w:rsidRDefault="00113FAB">
      <w:pPr>
        <w:pStyle w:val="Heading2"/>
      </w:pPr>
      <w:r>
        <w:t xml:space="preserve">5.5 Held-back scratch-coder reserve samples and fixed draw order </w:t>
      </w:r>
    </w:p>
    <w:p w14:paraId="6736D720" w14:textId="77777777" w:rsidR="009221D1" w:rsidRDefault="00113FAB">
      <w:r>
        <w:rPr>
          <w:b/>
          <w:bCs/>
        </w:rPr>
        <w:t>Target size:</w:t>
      </w:r>
      <w:r>
        <w:t xml:space="preserve"> 100 random-baseline reserve records and 50 hard-case reserve records.</w:t>
      </w:r>
    </w:p>
    <w:p w14:paraId="3DE7E33B" w14:textId="77777777" w:rsidR="009221D1" w:rsidRDefault="00113FAB">
      <w:r>
        <w:rPr>
          <w:b/>
          <w:bCs/>
        </w:rPr>
        <w:t>Purpose:</w:t>
      </w:r>
      <w:r>
        <w:t xml:space="preserve"> provide a clean retest after any prompt, model, or taxonomy revision. Reserve records will not be used for training, pilot coding, initial validation, initial project-owner review, adjudication, or revision decisions before retest.</w:t>
      </w:r>
    </w:p>
    <w:p w14:paraId="04052AE6" w14:textId="77777777" w:rsidR="009221D1" w:rsidRDefault="00113FAB">
      <w:r>
        <w:t>All scratch-coder samples and reserves will be drawn in one reproducible operation using the following order:</w:t>
      </w:r>
    </w:p>
    <w:p w14:paraId="554B7293" w14:textId="77777777" w:rsidR="009221D1" w:rsidRDefault="00113FAB">
      <w:pPr>
        <w:spacing w:after="50"/>
        <w:ind w:left="397" w:hanging="255"/>
      </w:pPr>
      <w:r>
        <w:t>1. Remove the frozen 22-record training/pilot exclusion set.</w:t>
      </w:r>
    </w:p>
    <w:p w14:paraId="4A775402" w14:textId="77777777" w:rsidR="009221D1" w:rsidRDefault="00113FAB">
      <w:pPr>
        <w:spacing w:after="50"/>
        <w:ind w:left="397" w:hanging="255"/>
      </w:pPr>
      <w:r>
        <w:t>2. Draw the active 150-record random baseline from all remaining eligible records.</w:t>
      </w:r>
    </w:p>
    <w:p w14:paraId="5EDEAC10" w14:textId="77777777" w:rsidR="009221D1" w:rsidRDefault="00113FAB">
      <w:pPr>
        <w:spacing w:after="50"/>
        <w:ind w:left="397" w:hanging="255"/>
      </w:pPr>
      <w:r>
        <w:t>3. Draw the 100-record random-baseline reserve by simple random sampling from the remaining eligible population.</w:t>
      </w:r>
    </w:p>
    <w:p w14:paraId="1F7BCBC3" w14:textId="77777777" w:rsidR="009221D1" w:rsidRDefault="00113FAB">
      <w:pPr>
        <w:spacing w:after="50"/>
        <w:ind w:left="397" w:hanging="255"/>
      </w:pPr>
      <w:r>
        <w:t>4. Draw the active 75-record hard-case sample from the remaining disagreement frame, applying the 25/25/25 quotas and accompanying-tag rule in Section 5.3.</w:t>
      </w:r>
    </w:p>
    <w:p w14:paraId="6B44CB88" w14:textId="77777777" w:rsidR="009221D1" w:rsidRDefault="00113FAB">
      <w:pPr>
        <w:spacing w:after="50"/>
        <w:ind w:left="397" w:hanging="255"/>
      </w:pPr>
      <w:r>
        <w:t>5. Draw the 50-record hard-case reserve from the remaining eligible disagreement frame.</w:t>
      </w:r>
    </w:p>
    <w:p w14:paraId="49411C7D" w14:textId="77777777" w:rsidR="009221D1" w:rsidRDefault="00113FAB">
      <w:r>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14:paraId="61EEB974" w14:textId="77777777" w:rsidR="009221D1" w:rsidRDefault="00113FAB">
      <w:r>
        <w:t>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14:paraId="1E4D9360" w14:textId="77777777" w:rsidR="009221D1" w:rsidRDefault="00113FAB">
      <w: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14:paraId="211B837F" w14:textId="77777777" w:rsidR="009221D1" w:rsidRDefault="00113FAB">
      <w:pPr>
        <w:pStyle w:val="Heading2"/>
      </w:pPr>
      <w:r>
        <w:t>5.6 Randomisation and reproducibility</w:t>
      </w:r>
    </w:p>
    <w:p w14:paraId="37906CC3" w14:textId="77777777" w:rsidR="009221D1" w:rsidRDefault="00113FAB">
      <w:r>
        <w:t>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14:paraId="3AA95593" w14:textId="77777777" w:rsidR="009221D1" w:rsidRDefault="00113FAB">
      <w:pPr>
        <w:pStyle w:val="Heading1"/>
      </w:pPr>
      <w:r>
        <w:t>6. Review streams, training, and data collection</w:t>
      </w:r>
    </w:p>
    <w:p w14:paraId="0D44AEFD" w14:textId="77777777" w:rsidR="009221D1" w:rsidRDefault="00113FAB">
      <w:pPr>
        <w:pStyle w:val="Heading2"/>
      </w:pPr>
      <w:r>
        <w:t>6.1 Scratch coders and training</w:t>
      </w:r>
    </w:p>
    <w:p w14:paraId="6A565330" w14:textId="77777777" w:rsidR="00F80CC4" w:rsidRDefault="00F80CC4">
      <w:r>
        <w:t>Three independent taxonomy-trained scratch coders will each classify the same 225 sampled projects: the 150-record random baseline and 75-record hard-case sample. Each coder therefore completes 225 project classifications, yielding 675 coder–project classifications in total. Before beginning formal project coding, each coder will complete one formal declaration that throughout formal coding they will base each classification only on the permitted public-register title, datasets-used entry and approved training materials. Every coder–project assignment will separately ask whether the coder had additional information, including prior involvement in or familiarity with the project, professional or institutional knowledge, or accidental exposure to reviewer or other prohibited information. A flagged coder will still complete the classification using only the visible permitted evidence and approved training materials. Coders will be blind to the production-model and comparison-model outputs, other coders, project-owner responses, sample stratum, reserve status, and adjudicator views during initial coding.</w:t>
      </w:r>
    </w:p>
    <w:p w14:paraId="71CA87A6" w14:textId="57FB9A2B" w:rsidR="009221D1" w:rsidRDefault="00113FAB">
      <w:r>
        <w:t>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14:paraId="01C2F2B4" w14:textId="77777777" w:rsidR="009221D1" w:rsidRDefault="00113FAB">
      <w:r>
        <w:t>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14:paraId="2EE59F8F" w14:textId="77777777" w:rsidR="009221D1" w:rsidRDefault="00113FAB">
      <w:pPr>
        <w:pStyle w:val="Heading2"/>
      </w:pPr>
      <w:r>
        <w:t>6.2 Pilot procedure</w:t>
      </w:r>
    </w:p>
    <w:p w14:paraId="3A270552" w14:textId="77777777" w:rsidR="009221D1" w:rsidRDefault="00113FAB">
      <w: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14:paraId="0603F981" w14:textId="77777777" w:rsidR="009221D1" w:rsidRDefault="00113FAB">
      <w:r>
        <w:t>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are resolved and documented before the instrument is frozen for formal coding.</w:t>
      </w:r>
    </w:p>
    <w:p w14:paraId="61876DC1" w14:textId="77777777" w:rsidR="009221D1" w:rsidRDefault="00113FAB">
      <w:r>
        <w:t>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14:paraId="238A5F2E" w14:textId="77777777" w:rsidR="009221D1" w:rsidRDefault="00113FAB">
      <w:r>
        <w:t>Pilot-driven instrument changes have been resolved and documented in the instrument-change log. REDCap scratch-coder candidate 0.7 passed completed administrator and restricted-user live QA and is the frozen formal instrument; its combined four-form dictionary contains 150 fields. No formal validation assignments have been populated. Candidate 0.3 is retained only as historical pilot evidence and candidate 0.6 only as historical intermediate live-QA evidence. Formal sampling and REDCap assignment import remain prohibited until preregistration is complete and the subsequent authorisation gate has passed. The model-direction check was reverified against the frozen canonical 1,308-row GPT-5.5 artefact before preregistration.</w:t>
      </w:r>
    </w:p>
    <w:p w14:paraId="0E7227EE" w14:textId="77777777" w:rsidR="009221D1" w:rsidRDefault="00113FAB">
      <w:pPr>
        <w:pStyle w:val="Heading2"/>
      </w:pPr>
      <w:r>
        <w:t>6.3 Project-owner review</w:t>
      </w:r>
    </w:p>
    <w:p w14:paraId="4C727C20" w14:textId="77777777" w:rsidR="009221D1" w:rsidRDefault="00113FAB">
      <w:r>
        <w:t>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and will provide a short basis for disagreement or uncertainty.</w:t>
      </w:r>
    </w:p>
    <w:p w14:paraId="5F10A6F9" w14:textId="77777777" w:rsidR="009221D1" w:rsidRDefault="00113FAB">
      <w:r>
        <w:t>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14:paraId="1CE28603" w14:textId="77777777" w:rsidR="009221D1" w:rsidRDefault="00113FAB">
      <w:pPr>
        <w:spacing w:after="240"/>
      </w:pPr>
      <w:r>
        <w:t xml:space="preserve">Recruitment will follow the sequence-based and supplementary purposive routes described in Section 5.4. Failed delivery, non-response and partial completion will be reported. </w:t>
      </w:r>
    </w:p>
    <w:p w14:paraId="393BD59E" w14:textId="77777777" w:rsidR="009221D1" w:rsidRDefault="00113FAB">
      <w:pPr>
        <w:spacing w:before="240" w:after="240"/>
      </w:pPr>
      <w:r>
        <w:t>Where two or more invited researchers review the same record, all complete responses will be retained. Within-record judgements will be reported as concordant or mixed, and neither an individual response nor an owner-majority classification will automatically be treated as an authoritative gold standard.</w:t>
      </w:r>
    </w:p>
    <w:p w14:paraId="477ECE89" w14:textId="77777777" w:rsidR="009221D1" w:rsidRDefault="00113FAB">
      <w:pPr>
        <w:pStyle w:val="Heading2"/>
        <w:spacing w:before="240" w:after="240"/>
      </w:pPr>
      <w:bookmarkStart w:id="0" w:name="_heading=h.bfn2zl6gkgn7" w:colFirst="0" w:colLast="0"/>
      <w:bookmarkEnd w:id="0"/>
      <w:r>
        <w:t>6.4 Formal coding conduct and rule clarifications</w:t>
      </w:r>
    </w:p>
    <w:p w14:paraId="66C64A30" w14:textId="77777777" w:rsidR="009221D1" w:rsidRDefault="00113FAB">
      <w:r>
        <w:t>During training and pilot debrief, coders may ask questions and provide instrument feedback. During formal coding, they may ask rule-level or instrument-level questions, but the study team will not provide case-specific classification answers.</w:t>
      </w:r>
    </w:p>
    <w:p w14:paraId="60190D45" w14:textId="77777777" w:rsidR="009221D1" w:rsidRDefault="00113FAB">
      <w:r>
        <w:t>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14:paraId="3C1EF73E" w14:textId="77777777" w:rsidR="009221D1" w:rsidRDefault="00113FAB">
      <w:r>
        <w:t>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14:paraId="0AFFE3F0" w14:textId="77777777" w:rsidR="009221D1" w:rsidRDefault="00113FAB">
      <w:pPr>
        <w:pStyle w:val="Heading2"/>
      </w:pPr>
      <w:bookmarkStart w:id="1" w:name="_heading=h.wel7u3y3364g" w:colFirst="0" w:colLast="0"/>
      <w:bookmarkEnd w:id="1"/>
      <w:r>
        <w:t>6.5 Project-owner participation and data handling</w:t>
      </w:r>
    </w:p>
    <w:p w14:paraId="15D81C92" w14:textId="77777777" w:rsidR="009221D1" w:rsidRDefault="00113FAB">
      <w:r>
        <w:t xml:space="preserve">Project-owner participation will be voluntary. Invitation materials will explain the purpose of the review, the information collected, how responses will be analysed and reported, and the deadline for withdrawal before analysis lock. Professional contact details and reviewer identities will be stored separately from analytical exports where practicable. Named responses and raw comments will not be published without permission, and comments containing non-public project information will be redacted or summarised. </w:t>
      </w:r>
    </w:p>
    <w:p w14:paraId="1ECCD13A" w14:textId="77777777" w:rsidR="009221D1" w:rsidRDefault="009221D1"/>
    <w:p w14:paraId="32835CC9" w14:textId="77777777" w:rsidR="009221D1" w:rsidRDefault="00113FAB">
      <w:pPr>
        <w:pStyle w:val="Heading1"/>
      </w:pPr>
      <w:r>
        <w:t>7. Reviewer instruments</w:t>
      </w:r>
    </w:p>
    <w:p w14:paraId="1806DE12" w14:textId="77777777" w:rsidR="00F80CC4" w:rsidRDefault="00F80CC4">
      <w:pPr>
        <w:spacing w:before="240" w:after="240"/>
      </w:pPr>
      <w:r>
        <w:t>The assignment-administration, coder-declaration, scratch-coder and project-owner forms will be implemented as four instruments within one REDCap project. Each coder declaration will form one separate governance record, and each assignment of a reviewer to a register record will form one project-assignment record and export row with the frozen public-register fields pre-populated. A hidden administrative record-type field distinguishes formal project assignments, one declaration record per coder and synthetic runtime-QA records; a blank historical value is treated as a project assignment for display and does not alter scientific sample membership. Pilot assignments remain administratively identified and excluded from the formal validation analysis.</w:t>
      </w:r>
    </w:p>
    <w:p w14:paraId="22D9FB66" w14:textId="1EAAC2FB" w:rsidR="009221D1" w:rsidRDefault="00113FAB">
      <w:pPr>
        <w:spacing w:before="240" w:after="240"/>
      </w:pPr>
      <w:r>
        <w:t>The versioned REDCap data dictionary archived with the registration specifies field definitions, option coding, branching logic, required-field rules, and hidden administrative variables. Candidate 0.7 passed completed administrator and restricted-user live QA and is frozen for preregistration and subsequent formal scratch coding; the frozen combined dictionary contains 150 fields and no formal validation assignments are populated. Any later substantive change will be versioned and recorded in the instrument-change log. Formal assignment import remains prohibited until preregistration and the subsequent authorisation gate are complete.</w:t>
      </w:r>
    </w:p>
    <w:p w14:paraId="1F8E31D4" w14:textId="77777777" w:rsidR="009221D1" w:rsidRDefault="00113FAB">
      <w:r>
        <w:t>Administrative fields hidden from reviewers include reviewer identity, Record ID, sample set, validation inclusion, disagreement stratum, model outputs, reserve status, and display order. Assignment identifiers are neutral and do not encode sample source, disagreement status, Record ID, or difficulty.</w:t>
      </w:r>
    </w:p>
    <w:p w14:paraId="2D1A4737" w14:textId="77777777" w:rsidR="009221D1" w:rsidRDefault="00113FAB">
      <w:pPr>
        <w:pStyle w:val="Heading2"/>
      </w:pPr>
      <w:r>
        <w:t>7.1 Scratch-coder instrument</w:t>
      </w:r>
    </w:p>
    <w:p w14:paraId="04F18AC2" w14:textId="77777777" w:rsidR="00F80CC4" w:rsidRDefault="00F80CC4" w:rsidP="00337593">
      <w:pPr>
        <w:rPr>
          <w:b/>
          <w:bCs/>
        </w:rPr>
      </w:pPr>
      <w:r>
        <w:t>Each scratch coder records the permitted-material declaration once before formal coding, not once per project. For every coder–project assignment, the coder records whether they had information beyond the permitted evidence; this includes prior project involvement or familiarity, professional or institutional knowledge, and accidental exposure to reviewer or other prohibited information. The exposure note identifies only the source of additional knowledge and does not collect its substantive content. A Yes response does not mean the project is skipped or automatically invalid: the coder still completes Research Domains, one or two Analytical Purposes, both cross-cutting tags, public-register sufficiency, taxonomy fit and issue type, classification confidence, and any conditional explanatory note using only the permitted visible evidence. Taxonomy fit is coded Fit, Partial Fit, No Fit, or Cannot assess from register entry. Cannot assess is used where the public entry does not provide enough information to judge taxonomy fit and is treated as an evidence-sufficiency outcome rather than a taxonomy defect. Detailed definitions and branching logic are specified in the archived REDCap data dictionary.</w:t>
      </w:r>
    </w:p>
    <w:p w14:paraId="5C18A64A" w14:textId="7FCD603A" w:rsidR="009221D1" w:rsidRDefault="00113FAB">
      <w:pPr>
        <w:pStyle w:val="Heading2"/>
      </w:pPr>
      <w:r>
        <w:t>7.2 Project-owner instrument</w:t>
      </w:r>
    </w:p>
    <w:p w14:paraId="38B03BBA" w14:textId="77777777" w:rsidR="009221D1" w:rsidRDefault="00113FAB">
      <w:r>
        <w:t xml:space="preserve">Owners record Fits, Does not fit, or Unsure for each proposed domain, purpose, and tag, with an explanation required for disagreement or uncertainty. They may identify missing labels, assess public-entry sufficiency, and judge taxonomy fit using their knowledge of the actual project. Owner taxonomy fit is coded Fit, Partial Fit, or No Fit; Cannot assess from register entry is limited to the scratch-coder register-only stream. Detailed definitions and branching logic are specified in the archived REDCap data dictionary. </w:t>
      </w:r>
    </w:p>
    <w:p w14:paraId="5BF0160D" w14:textId="77777777" w:rsidR="009221D1" w:rsidRDefault="00113FAB">
      <w:pPr>
        <w:pStyle w:val="Heading1"/>
      </w:pPr>
      <w:r>
        <w:t>8. Analysis plan</w:t>
      </w:r>
    </w:p>
    <w:p w14:paraId="248AD581" w14:textId="77777777" w:rsidR="009221D1" w:rsidRDefault="00113FAB">
      <w:r>
        <w:t>This section is the sole location for analysis populations and metric definitions. The decision framework in Section 10 uses these quantities only.</w:t>
      </w:r>
    </w:p>
    <w:p w14:paraId="7D2D7519" w14:textId="77777777" w:rsidR="009221D1" w:rsidRDefault="00113FAB">
      <w:pPr>
        <w:pStyle w:val="Heading2"/>
      </w:pPr>
      <w:r>
        <w:t>8.1 Analysis populations</w:t>
      </w:r>
    </w:p>
    <w:p w14:paraId="53F24BF9" w14:textId="77777777" w:rsidR="009221D1" w:rsidRDefault="00113FAB">
      <w:pPr>
        <w:numPr>
          <w:ilvl w:val="0"/>
          <w:numId w:val="1"/>
        </w:numPr>
        <w:pBdr>
          <w:top w:val="nil"/>
          <w:left w:val="nil"/>
          <w:bottom w:val="nil"/>
          <w:right w:val="nil"/>
          <w:between w:val="nil"/>
        </w:pBdr>
        <w:spacing w:after="0" w:line="252" w:lineRule="auto"/>
      </w:pPr>
      <w:r>
        <w:rPr>
          <w:color w:val="000000"/>
        </w:rPr>
        <w:t>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p>
    <w:p w14:paraId="11596E18" w14:textId="77777777" w:rsidR="009221D1" w:rsidRDefault="00113FAB">
      <w:pPr>
        <w:numPr>
          <w:ilvl w:val="0"/>
          <w:numId w:val="1"/>
        </w:numPr>
        <w:pBdr>
          <w:top w:val="nil"/>
          <w:left w:val="nil"/>
          <w:bottom w:val="nil"/>
          <w:right w:val="nil"/>
          <w:between w:val="nil"/>
        </w:pBdr>
        <w:spacing w:after="0" w:line="252" w:lineRule="auto"/>
      </w:pPr>
      <w:r>
        <w:rPr>
          <w:color w:val="000000"/>
        </w:rPr>
        <w:t>Register-sufficient subsets: broad and strict subsets defined from original pre-adjudication coder ratings in Section 8.3.</w:t>
      </w:r>
    </w:p>
    <w:p w14:paraId="2EE15201" w14:textId="77777777" w:rsidR="009221D1" w:rsidRDefault="00113FAB">
      <w:pPr>
        <w:numPr>
          <w:ilvl w:val="0"/>
          <w:numId w:val="1"/>
        </w:numPr>
        <w:pBdr>
          <w:top w:val="nil"/>
          <w:left w:val="nil"/>
          <w:bottom w:val="nil"/>
          <w:right w:val="nil"/>
          <w:between w:val="nil"/>
        </w:pBdr>
        <w:spacing w:after="0" w:line="252" w:lineRule="auto"/>
      </w:pPr>
      <w:r>
        <w:rPr>
          <w:color w:val="000000"/>
        </w:rPr>
        <w:t>Hard-case population: the 75-record enriched sample, analysed separately as diagnostic and non-representative.</w:t>
      </w:r>
    </w:p>
    <w:p w14:paraId="1513CE8D" w14:textId="77777777" w:rsidR="009221D1" w:rsidRDefault="00113FAB">
      <w:pPr>
        <w:numPr>
          <w:ilvl w:val="0"/>
          <w:numId w:val="1"/>
        </w:numPr>
        <w:pBdr>
          <w:top w:val="nil"/>
          <w:left w:val="nil"/>
          <w:bottom w:val="nil"/>
          <w:right w:val="nil"/>
          <w:between w:val="nil"/>
        </w:pBdr>
        <w:spacing w:after="0" w:line="252" w:lineRule="auto"/>
      </w:pPr>
      <w:r>
        <w:rPr>
          <w:color w:val="000000"/>
        </w:rPr>
        <w:t>Project-owner stream: reported separately and never combined with scratch-coder agreement estimates.</w:t>
      </w:r>
    </w:p>
    <w:p w14:paraId="33E7B710" w14:textId="77777777" w:rsidR="009221D1" w:rsidRDefault="00113FAB">
      <w:pPr>
        <w:numPr>
          <w:ilvl w:val="0"/>
          <w:numId w:val="1"/>
        </w:numPr>
        <w:pBdr>
          <w:top w:val="nil"/>
          <w:left w:val="nil"/>
          <w:bottom w:val="nil"/>
          <w:right w:val="nil"/>
          <w:between w:val="nil"/>
        </w:pBdr>
        <w:spacing w:after="50" w:line="252" w:lineRule="auto"/>
      </w:pPr>
      <w:r>
        <w:rPr>
          <w:color w:val="000000"/>
        </w:rPr>
        <w:t>Adjudication population: defined prospectively in Section 9; issue-code proportions apply only to adjudicated cases.</w:t>
      </w:r>
    </w:p>
    <w:p w14:paraId="5B66B15C" w14:textId="77777777" w:rsidR="009221D1" w:rsidRDefault="00113FAB">
      <w:r>
        <w:rPr>
          <w:i/>
          <w:iCs/>
        </w:rPr>
        <w:t>Unclear from Register Entry</w:t>
      </w:r>
      <w:r>
        <w:t xml:space="preserve"> is treated as an ordinary taxonomy label in the primary analysis because it is a valid outcome of the register-only task.</w:t>
      </w:r>
    </w:p>
    <w:p w14:paraId="0DAEFA61" w14:textId="77777777" w:rsidR="009221D1" w:rsidRDefault="00113FAB">
      <w:pPr>
        <w:pStyle w:val="Heading2"/>
      </w:pPr>
      <w:r>
        <w:t>8.2 Primary replacement-panel analysis</w:t>
      </w:r>
    </w:p>
    <w:p w14:paraId="0CC81A8E" w14:textId="77777777" w:rsidR="009221D1" w:rsidRDefault="00113FAB">
      <w:r>
        <w:t>Research Domains and Analytical Purposes will be analysed separately using replacement-panel Krippendorff's alpha with MASI distance for unordered multi-label sets:</w:t>
      </w:r>
    </w:p>
    <w:p w14:paraId="73AF7FB7" w14:textId="77777777" w:rsidR="009221D1" w:rsidRDefault="00113FAB">
      <w:pPr>
        <w:numPr>
          <w:ilvl w:val="0"/>
          <w:numId w:val="1"/>
        </w:numPr>
      </w:pPr>
      <w:r>
        <w:t>alpha_ABC: Krippendorff’s alpha for the three-human panel.</w:t>
      </w:r>
    </w:p>
    <w:p w14:paraId="2EC39049" w14:textId="77777777" w:rsidR="009221D1" w:rsidRDefault="00113FAB">
      <w:pPr>
        <w:numPr>
          <w:ilvl w:val="0"/>
          <w:numId w:val="1"/>
        </w:numPr>
      </w:pPr>
      <w:r>
        <w:t>alpha_LBC, alpha_ALC, and alpha_ABL: Krippendorff’s alpha after replacing coder A, B, or C, respectively, with the production model.</w:t>
      </w:r>
    </w:p>
    <w:p w14:paraId="1F82FD4A" w14:textId="77777777" w:rsidR="009221D1" w:rsidRDefault="00113FAB">
      <w:pPr>
        <w:numPr>
          <w:ilvl w:val="0"/>
          <w:numId w:val="1"/>
        </w:numPr>
      </w:pPr>
      <w:r>
        <w:t>delta_A, delta_B, and delta_C: the corresponding replacement-panel alpha minus alpha_ABC.</w:t>
      </w:r>
    </w:p>
    <w:p w14:paraId="7F3BBF45" w14:textId="77777777" w:rsidR="009221D1" w:rsidRDefault="00113FAB">
      <w:pPr>
        <w:numPr>
          <w:ilvl w:val="0"/>
          <w:numId w:val="1"/>
        </w:numPr>
      </w:pPr>
      <w:r>
        <w:t>delta_min: the smallest of the three replacement differences, representing the least favourable coder substitution.</w:t>
      </w:r>
    </w:p>
    <w:p w14:paraId="3225AD88" w14:textId="77777777" w:rsidR="009221D1" w:rsidRDefault="00113FAB">
      <w: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14:paraId="6A7F10CC" w14:textId="77777777" w:rsidR="009221D1" w:rsidRDefault="00113FAB">
      <w:r>
        <w:t>The delta_min is the minimum of three noisy and correlated estimates; it is subject to negative selection bias relative to the minimum of the corresponding population differences. Its sampling distribution may also be non-smooth when two or more component differences are similar. Interpretation will therefore consider the full set of component alphas and differences rather than delta_min alone.</w:t>
      </w:r>
    </w:p>
    <w:p w14:paraId="27B44C82" w14:textId="77777777" w:rsidR="009221D1" w:rsidRDefault="00113FAB">
      <w:r>
        <w:t>Interpretation therefore uses the bootstrap interval for delta_min, recalculated jointly with the component alphas and differences within each resample, and the broader evidence profile rather than the point estimate alone.</w:t>
      </w:r>
    </w:p>
    <w:p w14:paraId="4AE7EE5E" w14:textId="77777777" w:rsidR="009221D1" w:rsidRDefault="00113FAB">
      <w:r>
        <w:t>For each binary tag, the replacement-panel analysis will use nominal distance. Additional prevalence-sensitive diagnostics are defined in Section 8.4, and the two tags will be analysed separately.</w:t>
      </w:r>
    </w:p>
    <w:p w14:paraId="3EB06F81" w14:textId="77777777" w:rsidR="009221D1" w:rsidRDefault="00113FAB">
      <w:pPr>
        <w:pStyle w:val="Heading2"/>
      </w:pPr>
      <w:r>
        <w:t>8.3 Register-sufficiency sensitivity analyses</w:t>
      </w:r>
    </w:p>
    <w:p w14:paraId="40821DF3" w14:textId="77777777" w:rsidR="00F80CC4" w:rsidRDefault="00F80CC4" w:rsidP="00337593">
      <w:pPr>
        <w:rPr>
          <w:b/>
          <w:bCs/>
        </w:rPr>
      </w:pPr>
      <w:r>
        <w:t>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 Exposure-flagged coder–project responses will also remain in the primary analysis rather than being treated automatically as missing or invalid. Their frequency will be reported, and a sensitivity analysis excluding flagged responses will be presented where the number and pattern of flagged responses make this informative. Required free-text exposure-source notes may be summarised qualitatively; source-specific quantitative reporting is not pre-specified.</w:t>
      </w:r>
    </w:p>
    <w:p w14:paraId="0751F1A3" w14:textId="7615E1BE" w:rsidR="009221D1" w:rsidRDefault="00113FAB">
      <w:pPr>
        <w:pStyle w:val="Heading2"/>
      </w:pPr>
      <w:r>
        <w:t>8.4 Secondary agreement and per-label diagnostics</w:t>
      </w:r>
    </w:p>
    <w:p w14:paraId="6DAFAB4A" w14:textId="77777777" w:rsidR="009221D1" w:rsidRDefault="00113FAB">
      <w:pPr>
        <w:numPr>
          <w:ilvl w:val="0"/>
          <w:numId w:val="1"/>
        </w:numPr>
        <w:pBdr>
          <w:top w:val="nil"/>
          <w:left w:val="nil"/>
          <w:bottom w:val="nil"/>
          <w:right w:val="nil"/>
          <w:between w:val="nil"/>
        </w:pBdr>
        <w:spacing w:after="0" w:line="252" w:lineRule="auto"/>
      </w:pPr>
      <w:r>
        <w:rPr>
          <w:color w:val="000000"/>
        </w:rPr>
        <w:t>Exact-set agreement between the production model and each scratch coder.</w:t>
      </w:r>
    </w:p>
    <w:p w14:paraId="074B351D" w14:textId="77777777" w:rsidR="009221D1" w:rsidRDefault="00113FAB">
      <w:pPr>
        <w:numPr>
          <w:ilvl w:val="0"/>
          <w:numId w:val="1"/>
        </w:numPr>
        <w:pBdr>
          <w:top w:val="nil"/>
          <w:left w:val="nil"/>
          <w:bottom w:val="nil"/>
          <w:right w:val="nil"/>
          <w:between w:val="nil"/>
        </w:pBdr>
        <w:spacing w:after="0" w:line="252" w:lineRule="auto"/>
      </w:pPr>
      <w:r>
        <w:t>Record-level Jaccard similarity between the production model and each scratch coder for Research Domains and Analytical Purposes.</w:t>
      </w:r>
    </w:p>
    <w:p w14:paraId="6B415D7E" w14:textId="77777777" w:rsidR="009221D1" w:rsidRDefault="00113FAB">
      <w:pPr>
        <w:numPr>
          <w:ilvl w:val="0"/>
          <w:numId w:val="1"/>
        </w:numPr>
        <w:pBdr>
          <w:top w:val="nil"/>
          <w:left w:val="nil"/>
          <w:bottom w:val="nil"/>
          <w:right w:val="nil"/>
          <w:between w:val="nil"/>
        </w:pBdr>
        <w:spacing w:after="0" w:line="252" w:lineRule="auto"/>
      </w:pPr>
      <w:r>
        <w:t>Per-label Cohen's kappa for the three human-human pairs and three model-human pairs, with macro-averages restricted to labels eligible for performance reporting under the support rule in Section 8.8.</w:t>
      </w:r>
    </w:p>
    <w:p w14:paraId="45ACA14F" w14:textId="77777777" w:rsidR="009221D1" w:rsidRDefault="00113FAB">
      <w:pPr>
        <w:numPr>
          <w:ilvl w:val="0"/>
          <w:numId w:val="1"/>
        </w:numPr>
        <w:pBdr>
          <w:top w:val="nil"/>
          <w:left w:val="nil"/>
          <w:bottom w:val="nil"/>
          <w:right w:val="nil"/>
          <w:between w:val="nil"/>
        </w:pBdr>
        <w:spacing w:after="0" w:line="252" w:lineRule="auto"/>
      </w:pPr>
      <w:r>
        <w:rPr>
          <w:color w:val="000000"/>
        </w:rPr>
        <w:t>Per-label precision, recall, and F1 of the production model against the majority-human reference.</w:t>
      </w:r>
    </w:p>
    <w:p w14:paraId="0AB53B54" w14:textId="77777777" w:rsidR="009221D1" w:rsidRDefault="00113FAB">
      <w:pPr>
        <w:numPr>
          <w:ilvl w:val="0"/>
          <w:numId w:val="1"/>
        </w:numPr>
        <w:pBdr>
          <w:top w:val="nil"/>
          <w:left w:val="nil"/>
          <w:bottom w:val="nil"/>
          <w:right w:val="nil"/>
          <w:between w:val="nil"/>
        </w:pBdr>
        <w:spacing w:after="50" w:line="252" w:lineRule="auto"/>
      </w:pPr>
      <w:r>
        <w:rPr>
          <w:color w:val="000000"/>
        </w:rPr>
        <w:t>For each tag: raw, positive, and negative agreement; prevalence; Cohen's kappa; Gwet's AC1; precision; recall; and F1, reported separately for the random baseline and hard-case sample.</w:t>
      </w:r>
    </w:p>
    <w:p w14:paraId="65B1C102" w14:textId="77777777" w:rsidR="009221D1" w:rsidRDefault="00113FAB">
      <w:r>
        <w:t>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14:paraId="6F464C1B" w14:textId="77777777" w:rsidR="009221D1" w:rsidRDefault="00113FAB">
      <w:pPr>
        <w:pStyle w:val="Heading2"/>
        <w:keepNext w:val="0"/>
        <w:keepLines w:val="0"/>
        <w:spacing w:before="280" w:after="80" w:line="252" w:lineRule="auto"/>
        <w:ind w:left="360"/>
      </w:pPr>
      <w:bookmarkStart w:id="2" w:name="_heading=h.2m9s6ykmo38t" w:colFirst="0" w:colLast="0"/>
      <w:bookmarkEnd w:id="2"/>
      <w:r>
        <w:t>8.5 Scratch-coder evidence and taxonomy diagnostics</w:t>
      </w:r>
    </w:p>
    <w:p w14:paraId="76E2949A" w14:textId="77777777" w:rsidR="009221D1" w:rsidRDefault="00113FAB">
      <w:pPr>
        <w:spacing w:before="240" w:after="240" w:line="252" w:lineRule="auto"/>
        <w:ind w:right="600"/>
      </w:pPr>
      <w:r>
        <w:rPr>
          <w:b/>
          <w:bCs/>
        </w:rPr>
        <w:t xml:space="preserve">Register sufficiency: </w:t>
      </w:r>
      <w:r>
        <w:t>individual coder-rating distributions and record-level majority ratings, reported separately for the random baseline and hard-case samples; sizes of the broad and strict sufficiency subsets.</w:t>
      </w:r>
    </w:p>
    <w:p w14:paraId="6D6BCE41" w14:textId="77777777" w:rsidR="009221D1" w:rsidRDefault="00113FAB">
      <w:pPr>
        <w:spacing w:before="240" w:after="240" w:line="252" w:lineRule="auto"/>
        <w:ind w:right="600"/>
      </w:pPr>
      <w:r>
        <w:rPr>
          <w:b/>
          <w:bCs/>
        </w:rPr>
        <w:t xml:space="preserve">Taxonomy fit: </w:t>
      </w:r>
      <w:r>
        <w:t>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14:paraId="5BD48C9F" w14:textId="77777777" w:rsidR="009221D1" w:rsidRDefault="00113FAB">
      <w:pPr>
        <w:spacing w:before="240" w:after="240" w:line="252" w:lineRule="auto"/>
        <w:ind w:right="600"/>
      </w:pPr>
      <w:r>
        <w:t>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register sufficiency and taxonomy fit. It does not alter the separately defined broad and strict register-sufficiency subset rules in Section 8.3.</w:t>
      </w:r>
    </w:p>
    <w:p w14:paraId="04239718" w14:textId="77777777" w:rsidR="009221D1" w:rsidRDefault="00113FAB">
      <w:pPr>
        <w:spacing w:before="240" w:after="240" w:line="252" w:lineRule="auto"/>
        <w:ind w:right="600"/>
      </w:pPr>
      <w:r>
        <w:rPr>
          <w:b/>
          <w:bCs/>
        </w:rPr>
        <w:t>Unclear from Register Entry:</w:t>
      </w:r>
      <w:r>
        <w:t xml:space="preserve"> coder-specific use, majority use, and coherence patterns with sufficiency and confidence.</w:t>
      </w:r>
    </w:p>
    <w:p w14:paraId="64681356" w14:textId="77777777" w:rsidR="009221D1" w:rsidRDefault="00113FAB">
      <w:pPr>
        <w:pStyle w:val="Heading2"/>
        <w:keepNext w:val="0"/>
        <w:keepLines w:val="0"/>
        <w:spacing w:before="280" w:after="80" w:line="252" w:lineRule="auto"/>
        <w:ind w:left="360"/>
      </w:pPr>
      <w:bookmarkStart w:id="3" w:name="_heading=h.c0v67fapdbl5" w:colFirst="0" w:colLast="0"/>
      <w:bookmarkEnd w:id="3"/>
      <w:r>
        <w:t>8.6 Project-owner review analysis</w:t>
      </w:r>
    </w:p>
    <w:p w14:paraId="07BABD1C" w14:textId="77777777" w:rsidR="009221D1" w:rsidRDefault="00113FAB">
      <w:pPr>
        <w:spacing w:after="240" w:line="252" w:lineRule="auto"/>
      </w:pPr>
      <w:r>
        <w:t>Recruitment flow and completion will be summarised separately for the sequence-based and supplementary purposive routes, including researchers invited, researchers responding, completed owner–record responses and unique Record IDs reviewed.</w:t>
      </w:r>
    </w:p>
    <w:p w14:paraId="21F5A01C" w14:textId="77777777" w:rsidR="009221D1" w:rsidRDefault="00113FAB">
      <w:pPr>
        <w:spacing w:before="240" w:after="240" w:line="252" w:lineRule="auto"/>
      </w:pPr>
      <w:r>
        <w:t>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14:paraId="670C09D7" w14:textId="77777777" w:rsidR="009221D1" w:rsidRDefault="00113FAB">
      <w:pPr>
        <w:spacing w:before="240" w:after="240" w:line="252" w:lineRule="auto"/>
      </w:pPr>
      <w:r>
        <w:t>Missing-label findings will be reported at the owner–record response level and as the proportion of unique reviewed records for which at least one owner identifies a missing label. Public-entry sufficiency and taxonomy-fit ratings will be reported among non-missing completed owner responses.</w:t>
      </w:r>
    </w:p>
    <w:p w14:paraId="53E27BBC" w14:textId="77777777" w:rsidR="009221D1" w:rsidRDefault="00113FAB">
      <w:pPr>
        <w:spacing w:before="240" w:after="240" w:line="252" w:lineRule="auto"/>
      </w:pPr>
      <w:r>
        <w:t>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14:paraId="32B1B417" w14:textId="77777777" w:rsidR="009221D1" w:rsidRDefault="00113FAB">
      <w:pPr>
        <w:spacing w:before="240" w:after="240" w:line="252" w:lineRule="auto"/>
      </w:pPr>
      <w:r>
        <w:t>Because recruitment is purposive and responses may be clustered within researchers and records, findings will be presented as counts and proportions without population-generalising confidence intervals.</w:t>
      </w:r>
    </w:p>
    <w:p w14:paraId="66569332" w14:textId="77777777" w:rsidR="009221D1" w:rsidRDefault="00113FAB">
      <w:pPr>
        <w:pStyle w:val="Heading2"/>
        <w:keepNext w:val="0"/>
        <w:keepLines w:val="0"/>
        <w:spacing w:before="280" w:after="80" w:line="252" w:lineRule="auto"/>
        <w:ind w:left="360"/>
      </w:pPr>
      <w:bookmarkStart w:id="4" w:name="_heading=h.s2g75so03pjb" w:colFirst="0" w:colLast="0"/>
      <w:bookmarkEnd w:id="4"/>
      <w:r>
        <w:t>8.7 Adjudication diagnostics</w:t>
      </w:r>
    </w:p>
    <w:p w14:paraId="2259D1E3" w14:textId="77777777" w:rsidR="009221D1" w:rsidRDefault="00113FAB">
      <w:pPr>
        <w:spacing w:before="240" w:after="240" w:line="252" w:lineRule="auto"/>
        <w:ind w:right="600"/>
      </w:pPr>
      <w:r>
        <w:rPr>
          <w:b/>
          <w:bCs/>
        </w:rPr>
        <w:t>Adjudication codes:</w:t>
      </w:r>
      <w: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p>
    <w:p w14:paraId="6AD5BA71" w14:textId="77777777" w:rsidR="009221D1" w:rsidRDefault="00113FAB">
      <w:pPr>
        <w:pStyle w:val="Heading2"/>
      </w:pPr>
      <w:r>
        <w:t>8.8 Rare and low-support label rule</w:t>
      </w:r>
    </w:p>
    <w:p w14:paraId="245E7E1C" w14:textId="77777777" w:rsidR="009221D1" w:rsidRDefault="00113FAB">
      <w:r>
        <w:t>A label's support is the number of random-baseline records human-supported under the two-of-three majority rule. The hard-case sample is excluded from support counts and per-label performance estimation because it is disagreement-enriched.</w:t>
      </w:r>
    </w:p>
    <w:p w14:paraId="5818B1CA" w14:textId="77777777" w:rsidR="009221D1" w:rsidRDefault="00113FAB">
      <w:pPr>
        <w:numPr>
          <w:ilvl w:val="0"/>
          <w:numId w:val="1"/>
        </w:numPr>
        <w:pBdr>
          <w:top w:val="nil"/>
          <w:left w:val="nil"/>
          <w:bottom w:val="nil"/>
          <w:right w:val="nil"/>
          <w:between w:val="nil"/>
        </w:pBdr>
        <w:spacing w:after="0" w:line="252" w:lineRule="auto"/>
      </w:pPr>
      <w:r>
        <w:t xml:space="preserve">Fewer than 10 positive records: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14:paraId="4669865F" w14:textId="77777777" w:rsidR="009221D1" w:rsidRDefault="00113FAB">
      <w:pPr>
        <w:numPr>
          <w:ilvl w:val="0"/>
          <w:numId w:val="1"/>
        </w:numPr>
        <w:pBdr>
          <w:top w:val="nil"/>
          <w:left w:val="nil"/>
          <w:bottom w:val="nil"/>
          <w:right w:val="nil"/>
          <w:between w:val="nil"/>
        </w:pBdr>
        <w:spacing w:after="0" w:line="252" w:lineRule="auto"/>
      </w:pPr>
      <w:r>
        <w:t>10 to 29 positive records: report per-label metrics with bootstrap intervals and an explicit low-support caution; do not quote point estimates without intervals.</w:t>
      </w:r>
    </w:p>
    <w:p w14:paraId="5954CB3E" w14:textId="77777777" w:rsidR="009221D1" w:rsidRDefault="00113FAB">
      <w:pPr>
        <w:numPr>
          <w:ilvl w:val="0"/>
          <w:numId w:val="1"/>
        </w:numPr>
        <w:pBdr>
          <w:top w:val="nil"/>
          <w:left w:val="nil"/>
          <w:bottom w:val="nil"/>
          <w:right w:val="nil"/>
          <w:between w:val="nil"/>
        </w:pBdr>
        <w:spacing w:after="50" w:line="252" w:lineRule="auto"/>
      </w:pPr>
      <w:r>
        <w:t>30 or more positive records: standard per-label reporting.</w:t>
      </w:r>
    </w:p>
    <w:p w14:paraId="2505F679" w14:textId="77777777" w:rsidR="009221D1" w:rsidRDefault="00113FAB">
      <w:pPr>
        <w:pBdr>
          <w:top w:val="nil"/>
          <w:left w:val="nil"/>
          <w:bottom w:val="nil"/>
          <w:right w:val="nil"/>
          <w:between w:val="nil"/>
        </w:pBdr>
        <w:spacing w:after="50" w:line="252" w:lineRule="auto"/>
      </w:pPr>
      <w: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14:paraId="70CD377A" w14:textId="77777777" w:rsidR="009221D1" w:rsidRDefault="009221D1"/>
    <w:p w14:paraId="0BD63404" w14:textId="77777777" w:rsidR="009221D1" w:rsidRDefault="00113FAB">
      <w:r>
        <w:rPr>
          <w:b/>
          <w:bCs/>
        </w:rPr>
        <w:t>Anticipated support distribution.</w:t>
      </w:r>
      <w: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 COVID-19 / pandemic tag is expected to have about nine positive baseline records. Its binary-tag diagnostics, including any tag-level alpha, will therefore be reported descriptively with an explicit low-prevalence caution rather than interpreted as a stable performance estimate. These projections are descriptive planning aids only; the reporting rule will be applied using observed two-of-three human-majority support in the random baseline.</w:t>
      </w:r>
    </w:p>
    <w:p w14:paraId="33963820" w14:textId="77777777" w:rsidR="009221D1" w:rsidRDefault="00113FAB">
      <w:pPr>
        <w:pStyle w:val="Heading2"/>
      </w:pPr>
      <w:r>
        <w:t>8.9 Uncertainty intervals</w:t>
      </w:r>
    </w:p>
    <w:p w14:paraId="24F3DFB8" w14:textId="77777777" w:rsidR="009221D1" w:rsidRDefault="00113FAB">
      <w:r>
        <w:t>Baseline proportions will use 95% Wilson score intervals. Agreement metrics, replacement differences, delta_min, and eligible per-label metrics will use 2,000 nonparametric record-level bootstrap resamples with percentile intervals and SEED_BOOTSTRAP = 20260714. Percentiles and percentile bootstrap interval endpoints use Hyndman–Fan Type 7 interpolation, equivalent to NumPy/Pandas linear quantile interpolation where those implementations are used. All ratings for a record remain together, and alpha_ABC, all replacement alphas, differences, and delta_min are recalculated jointly within each resample.</w:t>
      </w:r>
    </w:p>
    <w:p w14:paraId="3ADA633F" w14:textId="77777777" w:rsidR="009221D1" w:rsidRDefault="00113FAB">
      <w:r>
        <w:t>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14:paraId="671E33B6" w14:textId="77777777" w:rsidR="009221D1" w:rsidRDefault="00113FAB">
      <w:pPr>
        <w:pStyle w:val="Heading2"/>
      </w:pPr>
      <w:r>
        <w:t>8.10 Missing, incomplete, and inconsistent data</w:t>
      </w:r>
    </w:p>
    <w:p w14:paraId="0CB2C66E"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Training, worked-example, discussion, demonstration, and pilot records are excluded from all validation and reserve samples.</w:t>
      </w:r>
    </w:p>
    <w:p w14:paraId="4173205C" w14:textId="77777777" w:rsidR="009221D1" w:rsidRDefault="00113FAB">
      <w:pPr>
        <w:numPr>
          <w:ilvl w:val="0"/>
          <w:numId w:val="2"/>
        </w:numPr>
        <w:pBdr>
          <w:top w:val="nil"/>
          <w:left w:val="nil"/>
          <w:bottom w:val="nil"/>
          <w:right w:val="nil"/>
          <w:between w:val="nil"/>
        </w:pBdr>
        <w:spacing w:after="0" w:line="252" w:lineRule="auto"/>
      </w:pPr>
      <w:r>
        <w:t>Missing scratch-coder responses are handled according to the common complete-case rule in Section 8.1.</w:t>
      </w:r>
    </w:p>
    <w:p w14:paraId="78AD3E50"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Project-owner non-response is reported and not imputed.</w:t>
      </w:r>
    </w:p>
    <w:p w14:paraId="293C7B8D" w14:textId="77777777" w:rsidR="009221D1" w:rsidRDefault="00113FAB">
      <w:pPr>
        <w:numPr>
          <w:ilvl w:val="0"/>
          <w:numId w:val="2"/>
        </w:numPr>
        <w:spacing w:after="0"/>
      </w:pPr>
      <w:r>
        <w:t>Owner responses based on non-public knowledge are coded as project-informed evidence and do not by themselves penalise a register-only model judgement.</w:t>
      </w:r>
    </w:p>
    <w:p w14:paraId="105C86B3" w14:textId="77777777" w:rsidR="009221D1" w:rsidRDefault="00113FAB">
      <w:pPr>
        <w:numPr>
          <w:ilvl w:val="0"/>
          <w:numId w:val="2"/>
        </w:numPr>
        <w:spacing w:after="0"/>
      </w:pPr>
      <w:r>
        <w:t>For the instrument-validity sensitivity analysis, an affected response is a completed formal scratch-coder coder–project response that fails the frozen candidate-0.7 structural-validity rules. These include required-field completeness, checkbox exclusivity, the Analytical Purpose maximum, conditional taxonomy-issue and explanatory-note requirements, and every other response constraint encoded in the frozen offline validator. No affected response will be silently repaired or reinterpreted; any query or administrative follow-up will be logged, while the primary analysis retains the response exactly as recorded and reports the frequency of affected responses.</w:t>
      </w:r>
    </w:p>
    <w:p w14:paraId="48A83687" w14:textId="77777777" w:rsidR="009221D1" w:rsidRDefault="00113FAB">
      <w:pPr>
        <w:numPr>
          <w:ilvl w:val="0"/>
          <w:numId w:val="2"/>
        </w:numPr>
      </w:pPr>
      <w:r>
        <w:t>The instrument-validity sensitivity analysis will exclude every project containing at least one affected human scratch response, thereby retaining complete matched human–model panels. It will recompute the headline replacement-panel Krippendorff alpha and every applicable per-label diagnostic, and report the affected-response count, affected-project count, retained analysis population, and absolute or percentage-point difference between each primary and sensitivity estimate as appropriate. If no responses are affected, the report will state that the sensitivity population and results are identical to the primary analysis. This rule applies only to the formal scratch-coder stream and not to the separate project-owner analysis.</w:t>
      </w:r>
    </w:p>
    <w:p w14:paraId="7840A70A" w14:textId="77777777" w:rsidR="009221D1" w:rsidRDefault="009221D1">
      <w:pPr>
        <w:pBdr>
          <w:top w:val="nil"/>
          <w:left w:val="nil"/>
          <w:bottom w:val="nil"/>
          <w:right w:val="nil"/>
          <w:between w:val="nil"/>
        </w:pBdr>
        <w:spacing w:after="50" w:line="252" w:lineRule="auto"/>
      </w:pPr>
    </w:p>
    <w:p w14:paraId="63552E34" w14:textId="77777777" w:rsidR="009221D1" w:rsidRDefault="00113FAB">
      <w:pPr>
        <w:pStyle w:val="Heading1"/>
      </w:pPr>
      <w:r>
        <w:t>9. Diagnostic adjudication and disagreement-source coding</w:t>
      </w:r>
    </w:p>
    <w:p w14:paraId="55DA7F98" w14:textId="77777777" w:rsidR="009221D1" w:rsidRDefault="00113FAB">
      <w:r>
        <w:t>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14:paraId="3A5DC9FA" w14:textId="77777777" w:rsidR="009221D1" w:rsidRDefault="00113FAB">
      <w:pPr>
        <w:pStyle w:val="Heading2"/>
      </w:pPr>
      <w:r>
        <w:t>9.1 Adjudication population and process</w:t>
      </w:r>
    </w:p>
    <w:p w14:paraId="3B1A5AE8" w14:textId="77777777" w:rsidR="009221D1" w:rsidRDefault="00113FAB">
      <w:r>
        <w:t>The adjudication population includes:</w:t>
      </w:r>
    </w:p>
    <w:p w14:paraId="7D1E3D03" w14:textId="77777777" w:rsidR="009221D1" w:rsidRDefault="00113FAB">
      <w:pPr>
        <w:numPr>
          <w:ilvl w:val="0"/>
          <w:numId w:val="1"/>
        </w:numPr>
        <w:pBdr>
          <w:top w:val="nil"/>
          <w:left w:val="nil"/>
          <w:bottom w:val="nil"/>
          <w:right w:val="nil"/>
          <w:between w:val="nil"/>
        </w:pBdr>
        <w:spacing w:after="0" w:line="252" w:lineRule="auto"/>
      </w:pPr>
      <w:r>
        <w:t>all active baseline and hard-case records where the production-model output differs from the labelwise two-of-three majority-human reference on at least one Research Domain, Analytical Purpose, or tag;</w:t>
      </w:r>
    </w:p>
    <w:p w14:paraId="0C1787EA" w14:textId="77777777" w:rsidR="009221D1" w:rsidRDefault="00113FAB">
      <w:pPr>
        <w:numPr>
          <w:ilvl w:val="0"/>
          <w:numId w:val="1"/>
        </w:numPr>
        <w:pBdr>
          <w:top w:val="nil"/>
          <w:left w:val="nil"/>
          <w:bottom w:val="nil"/>
          <w:right w:val="nil"/>
          <w:between w:val="nil"/>
        </w:pBdr>
        <w:spacing w:after="0" w:line="252" w:lineRule="auto"/>
      </w:pPr>
      <w:r>
        <w:rPr>
          <w:color w:val="000000"/>
        </w:rPr>
        <w:t>all owner-reviewed projects with any Does not fit or Unsure verdict, any missing-label report, or any owner-indicated public-entry or taxonomy problem; and</w:t>
      </w:r>
    </w:p>
    <w:p w14:paraId="7DC5DE2B" w14:textId="77777777" w:rsidR="009221D1" w:rsidRDefault="00113FAB">
      <w:pPr>
        <w:numPr>
          <w:ilvl w:val="0"/>
          <w:numId w:val="1"/>
        </w:numPr>
        <w:pBdr>
          <w:top w:val="nil"/>
          <w:left w:val="nil"/>
          <w:bottom w:val="nil"/>
          <w:right w:val="nil"/>
          <w:between w:val="nil"/>
        </w:pBdr>
        <w:spacing w:after="50" w:line="252" w:lineRule="auto"/>
      </w:pPr>
      <w:r>
        <w:t>any record flagged during coding or cleaning as a possible data or instrument problem.</w:t>
      </w:r>
    </w:p>
    <w:p w14:paraId="2AE9005F" w14:textId="77777777" w:rsidR="009221D1" w:rsidRDefault="00113FAB">
      <w:r>
        <w:t>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14:paraId="47C013F4" w14:textId="77777777" w:rsidR="009221D1" w:rsidRDefault="00113FAB">
      <w:r>
        <w:t>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14:paraId="2ECA5082" w14:textId="77777777" w:rsidR="009221D1" w:rsidRDefault="00113FAB">
      <w:r>
        <w:t>The random secondary-review audit unit is a project entering and completing primary adjudication. After the complete primary-adjudication universe is fixed, it will be ordered by ascending stable source Record ID, using a deterministic secondary key if ever required. If N = 0 the random audit size is zero; otherwise it is ceil(0.20 × N). Projects will be sampled without replacement using the repository-standard NumPy PCG64 generator and SEED_ADJUDICATION_AUDIT = 20260715. The stable ordered universe, selected draw order, and final selected set will be recorded. All cases coded by the primary adjudicator as an apparent production-model rule-application problem, all unresolved cases, and any case proposed as evidence for prompt revision, taxonomy revision, or non-release receive mandatory second review in addition to the random audit. Overlap between mandatory and random routes is allowed and reported but does not reduce the required random draw size. Reports will give the random-audit count, mandatory-review count, overlap, and unique total second-reviewed projects. The secondary reviewer will apply the same two-stage procedure without seeing the primary adjudicator's coding until their independent review is complete.</w:t>
      </w:r>
    </w:p>
    <w:p w14:paraId="227F4F0A" w14:textId="77777777" w:rsidR="009221D1" w:rsidRDefault="00113FAB">
      <w:r>
        <w:t>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14:paraId="0907F4E0" w14:textId="77777777" w:rsidR="009221D1" w:rsidRDefault="00113FAB">
      <w:pPr>
        <w:pStyle w:val="Heading2"/>
      </w:pPr>
      <w:r>
        <w:t>9.2 Stage 1: source-masked disagreement diagnosis</w:t>
      </w:r>
    </w:p>
    <w:p w14:paraId="1149D85F" w14:textId="77777777" w:rsidR="009221D1" w:rsidRDefault="00113FAB">
      <w:r>
        <w:t>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14:paraId="58FE6151" w14:textId="77777777" w:rsidR="009221D1" w:rsidRDefault="00113FAB">
      <w: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14:paraId="31E85218" w14:textId="77777777" w:rsidR="009221D1" w:rsidRDefault="00113FAB">
      <w:r>
        <w:t>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14:paraId="38A22B40" w14:textId="77777777" w:rsidR="009221D1" w:rsidRDefault="00113FAB">
      <w:pPr>
        <w:pStyle w:val="Heading2"/>
      </w:pPr>
      <w:r>
        <w:t>9.3 Stage 2: source-revealed attribution</w:t>
      </w:r>
    </w:p>
    <w:p w14:paraId="4062097F" w14:textId="77777777" w:rsidR="009221D1" w:rsidRDefault="00113FAB">
      <w:r>
        <w:t>Source identities and project-owner evidence will then be revealed where needed to understand how the disagreement arose. The primary adjudicator, and the second reviewer for audited cases, may assign one or more of the following issue families:</w:t>
      </w:r>
    </w:p>
    <w:p w14:paraId="0C131F69" w14:textId="77777777" w:rsidR="009221D1" w:rsidRDefault="00113FAB">
      <w:pPr>
        <w:spacing w:after="50"/>
        <w:ind w:left="397" w:hanging="255"/>
      </w:pPr>
      <w:r>
        <w:t>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14:paraId="54A8C38E" w14:textId="77777777" w:rsidR="009221D1" w:rsidRDefault="00113FAB">
      <w:pPr>
        <w:spacing w:after="50"/>
        <w:ind w:left="397" w:hanging="255"/>
      </w:pPr>
      <w:r>
        <w:t>2. Apparent scratch-coder rule-application problem: a coder judgement appears to conflict with an explicit rule or apply the instructions inconsistently.</w:t>
      </w:r>
    </w:p>
    <w:p w14:paraId="6962F234" w14:textId="77777777" w:rsidR="009221D1" w:rsidRDefault="00113FAB">
      <w:pPr>
        <w:spacing w:after="50"/>
        <w:ind w:left="397" w:hanging="255"/>
      </w:pPr>
      <w:r>
        <w:t>3. Evidence problem: the public entry is insufficient, ambiguous, misleading, or too sparse to distinguish classifications reliably.</w:t>
      </w:r>
    </w:p>
    <w:p w14:paraId="13F2AA02" w14:textId="77777777" w:rsidR="009221D1" w:rsidRDefault="00113FAB">
      <w:pPr>
        <w:spacing w:after="50"/>
        <w:ind w:left="397" w:hanging="255"/>
      </w:pPr>
      <w:r>
        <w:t xml:space="preserve">4. Taxonomy problem: a missing or inadequately represented category, ambiguous or overlapping category boundaries, or another taxonomy problem. Cannot assess from register entry is an evidence limitation and is not assigned this code. </w:t>
      </w:r>
    </w:p>
    <w:p w14:paraId="5F70BE87" w14:textId="77777777" w:rsidR="009221D1" w:rsidRDefault="00113FAB">
      <w:pPr>
        <w:spacing w:after="50"/>
        <w:ind w:left="397" w:hanging="255"/>
      </w:pPr>
      <w:r>
        <w:t>5. Project-knowledge gap: an owner judgement relies on information not visible in the frozen public fields.</w:t>
      </w:r>
    </w:p>
    <w:p w14:paraId="034A3CE7" w14:textId="77777777" w:rsidR="009221D1" w:rsidRDefault="00113FAB">
      <w:pPr>
        <w:spacing w:after="50"/>
        <w:ind w:left="397" w:hanging="255"/>
      </w:pPr>
      <w:r>
        <w:t>6. Legitimate boundary case: more than one classification is defensible under the taxonomy and visible evidence.</w:t>
      </w:r>
    </w:p>
    <w:p w14:paraId="520F270F" w14:textId="77777777" w:rsidR="009221D1" w:rsidRDefault="00113FAB">
      <w:pPr>
        <w:spacing w:after="50"/>
        <w:ind w:left="397" w:hanging="255"/>
      </w:pPr>
      <w:r>
        <w:t>7. Data or instrument problem: a parsed field, cleaning decision, Record-ID issue, form design, branching rule, or related procedure affected the classification.</w:t>
      </w:r>
    </w:p>
    <w:p w14:paraId="2A5A4CAF" w14:textId="77777777" w:rsidR="009221D1" w:rsidRDefault="00113FAB">
      <w:pPr>
        <w:spacing w:after="50"/>
        <w:ind w:left="397" w:hanging="255"/>
      </w:pPr>
      <w:r>
        <w:t>8. Unresolved: the available evidence does not support a confident diagnosis.</w:t>
      </w:r>
    </w:p>
    <w:p w14:paraId="653CA512" w14:textId="77777777" w:rsidR="009221D1" w:rsidRDefault="00113FAB">
      <w:r>
        <w:t>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14:paraId="62959906" w14:textId="77777777" w:rsidR="009221D1" w:rsidRDefault="00113FAB">
      <w:pPr>
        <w:pStyle w:val="Heading1"/>
      </w:pPr>
      <w:r>
        <w:t>10. Release, revision, and retest decision framework</w:t>
      </w:r>
    </w:p>
    <w:p w14:paraId="201C7431" w14:textId="77777777" w:rsidR="009221D1" w:rsidRDefault="00113FAB">
      <w:r>
        <w:t>This section is the sole location for material-degradation criteria, review triggers, release categories, register-limitation handling, retesting, and sign-off. It uses the metrics in Section 8 and diagnostic adjudication in Section 9.</w:t>
      </w:r>
    </w:p>
    <w:p w14:paraId="7EA23CAF" w14:textId="77777777" w:rsidR="009221D1" w:rsidRDefault="00113FAB">
      <w:pPr>
        <w:pStyle w:val="Heading2"/>
      </w:pPr>
      <w:r>
        <w:t>10.1 Definition of material degradation</w:t>
      </w:r>
    </w:p>
    <w:p w14:paraId="30FF1151" w14:textId="77777777" w:rsidR="009221D1" w:rsidRDefault="00113FAB">
      <w: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14:paraId="44482120" w14:textId="77777777" w:rsidR="009221D1" w:rsidRDefault="00113FAB">
      <w:r>
        <w:t>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14:paraId="1E2B9428" w14:textId="77777777" w:rsidR="009221D1" w:rsidRDefault="00113FAB">
      <w:pPr>
        <w:pStyle w:val="Heading2"/>
      </w:pPr>
      <w:r>
        <w:t>10.2 Pre-specified review triggers</w:t>
      </w:r>
    </w:p>
    <w:p w14:paraId="08DF799B" w14:textId="77777777" w:rsidR="009221D1" w:rsidRDefault="00113FAB">
      <w:r>
        <w:t>The following triggers initiate structured review; they do not mechanically determine the release outcome. For each triggered item, the underlying counts, cases, uncertainty, and adjudication rationale will be reported.</w:t>
      </w:r>
    </w:p>
    <w:p w14:paraId="0048F632" w14:textId="77777777" w:rsidR="009221D1" w:rsidRDefault="00113FAB">
      <w:pPr>
        <w:spacing w:after="50"/>
        <w:ind w:left="397" w:hanging="255"/>
      </w:pPr>
      <w:r>
        <w:t>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14:paraId="0A198933" w14:textId="77777777" w:rsidR="009221D1" w:rsidRDefault="00113FAB">
      <w:pPr>
        <w:spacing w:after="50"/>
        <w:ind w:left="397" w:hanging="255"/>
      </w:pPr>
      <w:r>
        <w:t>2. Per-label diagnostics and adjudication identify a repeated false-positive or false-negative mechanism for an analytically important label or tag.</w:t>
      </w:r>
    </w:p>
    <w:p w14:paraId="10B12360" w14:textId="77777777" w:rsidR="009221D1" w:rsidRDefault="00113FAB">
      <w:pPr>
        <w:spacing w:after="50"/>
        <w:ind w:left="397" w:hanging="255"/>
      </w:pPr>
      <w:r>
        <w:t>3. Adjudication identifies a recurring apparent production-model rule-application problem in broad register-usable or strict register-sufficient cases.</w:t>
      </w:r>
    </w:p>
    <w:p w14:paraId="76A6E46B" w14:textId="77777777" w:rsidR="009221D1" w:rsidRDefault="00113FAB">
      <w:pPr>
        <w:spacing w:after="50"/>
        <w:ind w:left="397" w:hanging="255"/>
      </w:pPr>
      <w:r>
        <w:t xml:space="preserve">4. Scratch-coder, owner, or adjudication evidence identifies the same missing or inadequately represented category, ambiguous or overlapping boundary, or other taxonomy problem from more than one independent source. </w:t>
      </w:r>
    </w:p>
    <w:p w14:paraId="7B95C38F" w14:textId="77777777" w:rsidR="009221D1" w:rsidRDefault="00113FAB">
      <w:pPr>
        <w:spacing w:after="50"/>
        <w:ind w:left="397" w:hanging="255"/>
      </w:pPr>
      <w:r>
        <w:t>5. Tag disagreements within the coded baseline and hard-case samples, supported by adjudication, reveal a recurring pattern of missed or unsupported COVID-19 / pandemic or demographic disparities / equity tags.</w:t>
      </w:r>
    </w:p>
    <w:p w14:paraId="3B7C2FB9" w14:textId="77777777" w:rsidR="009221D1" w:rsidRDefault="009221D1">
      <w:pPr>
        <w:spacing w:after="50"/>
        <w:ind w:left="397" w:hanging="255"/>
      </w:pPr>
    </w:p>
    <w:p w14:paraId="263F9FE7" w14:textId="77777777" w:rsidR="009221D1" w:rsidRDefault="00113FAB">
      <w:pPr>
        <w:spacing w:after="50"/>
      </w:pPr>
      <w: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14:paraId="71E636A2" w14:textId="77777777" w:rsidR="009221D1" w:rsidRDefault="00113FAB">
      <w:r>
        <w:t>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14:paraId="27CADD43" w14:textId="77777777" w:rsidR="009221D1" w:rsidRDefault="00113FAB">
      <w:pPr>
        <w:pStyle w:val="Heading2"/>
      </w:pPr>
      <w:r>
        <w:t>10.3 From triggers to review</w:t>
      </w:r>
    </w:p>
    <w:p w14:paraId="2C972949" w14:textId="77777777" w:rsidR="009221D1" w:rsidRDefault="00113FAB">
      <w:r>
        <w:t>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14:paraId="3E17961C" w14:textId="77777777" w:rsidR="009221D1" w:rsidRDefault="00113FAB">
      <w:pPr>
        <w:pStyle w:val="Heading2"/>
      </w:pPr>
      <w:r>
        <w:t>10.4 Release decision categories</w:t>
      </w:r>
    </w:p>
    <w:p w14:paraId="29E679AE" w14:textId="77777777" w:rsidR="009221D1" w:rsidRDefault="00113FAB">
      <w:r>
        <w:rPr>
          <w:b/>
          <w:bCs/>
        </w:rPr>
        <w:t>Proceed with v1 release</w:t>
      </w:r>
      <w:r>
        <w:t xml:space="preserve"> where replacement-panel agreement does not show a systematic degradation profile, no recurring high-severity production-model rule-application problem is found, and limitations from register insufficiency or rare labels can be reported transparently.</w:t>
      </w:r>
    </w:p>
    <w:p w14:paraId="09D6C2F5" w14:textId="77777777" w:rsidR="009221D1" w:rsidRDefault="00113FAB">
      <w:r>
        <w:rPr>
          <w:b/>
          <w:bCs/>
        </w:rPr>
        <w:t>Release with caveats</w:t>
      </w:r>
      <w: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14:paraId="0F01F411" w14:textId="77777777" w:rsidR="009221D1" w:rsidRDefault="00113FAB">
      <w:r>
        <w:rPr>
          <w:b/>
          <w:bCs/>
        </w:rPr>
        <w:t>Revise prompt or model and retest</w:t>
      </w:r>
      <w:r>
        <w:t xml:space="preserve"> where evidence indicates production-model-attributable material degradation, post-revision instability, or a recurring misclassification mechanism affecting an important domain, purpose, or tag.</w:t>
      </w:r>
    </w:p>
    <w:p w14:paraId="58FCF974" w14:textId="77777777" w:rsidR="009221D1" w:rsidRDefault="00113FAB">
      <w:r>
        <w:rPr>
          <w:b/>
          <w:bCs/>
        </w:rPr>
        <w:t>Revise taxonomy and retest</w:t>
      </w:r>
      <w:r>
        <w:t xml:space="preserve"> where coders, owners, or adjudicators repeatedly identify missing or inadequately represented categories, ambiguous or overlapping category boundaries, or another recurring taxonomy problem. </w:t>
      </w:r>
    </w:p>
    <w:p w14:paraId="7BFAC9B4" w14:textId="77777777" w:rsidR="009221D1" w:rsidRDefault="00113FAB">
      <w:r>
        <w:rPr>
          <w:b/>
          <w:bCs/>
        </w:rPr>
        <w:t>Report a register limitation rather than model failure</w:t>
      </w:r>
      <w:r>
        <w:t xml:space="preserve"> where the public entry lacks enough evidence for reliable classification but the affected output remains interpretable with explicit caveats.</w:t>
      </w:r>
    </w:p>
    <w:p w14:paraId="5F18F42D" w14:textId="77777777" w:rsidR="009221D1" w:rsidRDefault="00113FAB">
      <w:r>
        <w:rPr>
          <w:b/>
          <w:bCs/>
        </w:rPr>
        <w:t>Do not release the affected LLM-derived output in its current form</w:t>
      </w:r>
      <w:r>
        <w:t xml:space="preserve"> where the combined evidence indicates that it is not reliable, interpretable, or stable enough for portfolio use. This may apply to a dimension, label family, or tag. Deterministic outputs and methodological findings may still be published.</w:t>
      </w:r>
    </w:p>
    <w:p w14:paraId="5B5C50DE" w14:textId="77777777" w:rsidR="009221D1" w:rsidRDefault="00113FAB">
      <w:pPr>
        <w:pStyle w:val="Heading2"/>
      </w:pPr>
      <w:r>
        <w:t>10.5 Register insufficiency rule</w:t>
      </w:r>
    </w:p>
    <w:p w14:paraId="7F972B69" w14:textId="77777777" w:rsidR="009221D1" w:rsidRDefault="00113FAB">
      <w:r>
        <w:t>Register insufficiency will not automatically be attributed to model error. Where insufficiency is extensive enough to make an output misleading despite caveats, the non-release category in Section 10.4 will apply.</w:t>
      </w:r>
    </w:p>
    <w:p w14:paraId="65696862" w14:textId="77777777" w:rsidR="009221D1" w:rsidRDefault="00113FAB">
      <w:pPr>
        <w:pStyle w:val="Heading2"/>
      </w:pPr>
      <w:r>
        <w:t>10.6 Revision, versioning, and reserve retest</w:t>
      </w:r>
    </w:p>
    <w:p w14:paraId="17D66094" w14:textId="77777777" w:rsidR="009221D1" w:rsidRDefault="00113FAB">
      <w: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14:paraId="1643D39A" w14:textId="77777777" w:rsidR="009221D1" w:rsidRDefault="00113FAB">
      <w:pPr>
        <w:pStyle w:val="Heading2"/>
      </w:pPr>
      <w:r>
        <w:t>10.7 Release-gate sign-off</w:t>
      </w:r>
    </w:p>
    <w:p w14:paraId="43197983" w14:textId="77777777" w:rsidR="009221D1" w:rsidRDefault="00113FAB">
      <w:pPr>
        <w:spacing w:before="240" w:after="240"/>
      </w:pPr>
      <w:r>
        <w:t>The study lead will prepare the evidence pack, including replacement-panel results, uncertainty intervals, per-label and tag diagnostics, sufficiency and taxonomy-fit summaries, project-owner findings, and adjudication logs.</w:t>
      </w:r>
    </w:p>
    <w:p w14:paraId="435763C4" w14:textId="77777777" w:rsidR="009221D1" w:rsidRDefault="00113FAB">
      <w:pPr>
        <w:spacing w:before="240" w:after="240"/>
      </w:pPr>
      <w:r>
        <w:t>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14:paraId="0A9B337E" w14:textId="77777777" w:rsidR="009221D1" w:rsidRDefault="00113FAB">
      <w:pPr>
        <w:spacing w:before="240" w:after="240"/>
      </w:pPr>
      <w:r>
        <w:t>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14:paraId="7F1321B7" w14:textId="77777777" w:rsidR="009221D1" w:rsidRDefault="00113FAB">
      <w:pPr>
        <w:pStyle w:val="Heading1"/>
      </w:pPr>
      <w:r>
        <w:t>11. Materials, reproducibility, and deviations</w:t>
      </w:r>
    </w:p>
    <w:p w14:paraId="1C016B7C" w14:textId="77777777" w:rsidR="009221D1" w:rsidRDefault="00113FAB">
      <w:r>
        <w:t>The following artefacts will be archived or linked from the registration where possible:</w:t>
      </w:r>
    </w:p>
    <w:p w14:paraId="7D852D37" w14:textId="77777777" w:rsidR="009221D1" w:rsidRDefault="00113FAB">
      <w:pPr>
        <w:numPr>
          <w:ilvl w:val="0"/>
          <w:numId w:val="1"/>
        </w:numPr>
        <w:pBdr>
          <w:top w:val="nil"/>
          <w:left w:val="nil"/>
          <w:bottom w:val="nil"/>
          <w:right w:val="nil"/>
          <w:between w:val="nil"/>
        </w:pBdr>
        <w:spacing w:after="0" w:line="252" w:lineRule="auto"/>
      </w:pPr>
      <w:r>
        <w:rPr>
          <w:color w:val="000000"/>
        </w:rPr>
        <w:t>source register snapshot, cleaning and versioning notes, and the reviewed duplicate-ruling file;</w:t>
      </w:r>
    </w:p>
    <w:p w14:paraId="79248785" w14:textId="77777777" w:rsidR="009221D1" w:rsidRDefault="00113FAB">
      <w:pPr>
        <w:numPr>
          <w:ilvl w:val="0"/>
          <w:numId w:val="1"/>
        </w:numPr>
        <w:pBdr>
          <w:top w:val="nil"/>
          <w:left w:val="nil"/>
          <w:bottom w:val="nil"/>
          <w:right w:val="nil"/>
          <w:between w:val="nil"/>
        </w:pBdr>
        <w:spacing w:after="0" w:line="252" w:lineRule="auto"/>
      </w:pPr>
      <w:r>
        <w:rPr>
          <w:color w:val="000000"/>
        </w:rPr>
        <w:t>frozen taxonomy data dictionary, prompt, model configuration, release metadata, and production classification output;</w:t>
      </w:r>
    </w:p>
    <w:p w14:paraId="096FF2EE" w14:textId="77777777" w:rsidR="009221D1" w:rsidRDefault="00113FAB">
      <w:pPr>
        <w:numPr>
          <w:ilvl w:val="0"/>
          <w:numId w:val="1"/>
        </w:numPr>
        <w:pBdr>
          <w:top w:val="nil"/>
          <w:left w:val="nil"/>
          <w:bottom w:val="nil"/>
          <w:right w:val="nil"/>
          <w:between w:val="nil"/>
        </w:pBdr>
        <w:spacing w:after="0" w:line="252" w:lineRule="auto"/>
      </w:pPr>
      <w:r>
        <w:rPr>
          <w:color w:val="000000"/>
        </w:rPr>
        <w:t>production repeat-run and GPT-5.5 comparison scripts, metadata, classifications, reports, and verification outputs, clearly marked as pre-existing evidence;</w:t>
      </w:r>
    </w:p>
    <w:p w14:paraId="26C74072" w14:textId="77777777" w:rsidR="009221D1" w:rsidRDefault="00113FAB">
      <w:pPr>
        <w:numPr>
          <w:ilvl w:val="0"/>
          <w:numId w:val="1"/>
        </w:numPr>
        <w:pBdr>
          <w:top w:val="nil"/>
          <w:left w:val="nil"/>
          <w:bottom w:val="nil"/>
          <w:right w:val="nil"/>
          <w:between w:val="nil"/>
        </w:pBdr>
        <w:spacing w:after="0" w:line="252" w:lineRule="auto"/>
      </w:pPr>
      <w:r>
        <w:rPr>
          <w:color w:val="000000"/>
        </w:rPr>
        <w:t>the final 22-record exclusion set, frozen sampling script and specification, eligibility inputs or their hashes, fixed seeds, output schemas, procedural documentation, software versions, and code commit;</w:t>
      </w:r>
    </w:p>
    <w:p w14:paraId="450020CB" w14:textId="77777777" w:rsidR="009221D1" w:rsidRDefault="00113FAB">
      <w:pPr>
        <w:numPr>
          <w:ilvl w:val="0"/>
          <w:numId w:val="1"/>
        </w:numPr>
        <w:pBdr>
          <w:top w:val="nil"/>
          <w:left w:val="nil"/>
          <w:bottom w:val="nil"/>
          <w:right w:val="nil"/>
          <w:between w:val="nil"/>
        </w:pBdr>
        <w:spacing w:after="0" w:line="252" w:lineRule="auto"/>
      </w:pPr>
      <w:r>
        <w:rPr>
          <w:color w:val="000000"/>
        </w:rPr>
        <w:t>scratch-coder guide, training materials, and pilot debrief materials;</w:t>
      </w:r>
    </w:p>
    <w:p w14:paraId="30F6DB3F" w14:textId="77777777" w:rsidR="009221D1" w:rsidRDefault="00113FAB">
      <w:pPr>
        <w:numPr>
          <w:ilvl w:val="0"/>
          <w:numId w:val="1"/>
        </w:numPr>
        <w:pBdr>
          <w:top w:val="nil"/>
          <w:left w:val="nil"/>
          <w:bottom w:val="nil"/>
          <w:right w:val="nil"/>
          <w:between w:val="nil"/>
        </w:pBdr>
        <w:spacing w:after="0" w:line="252" w:lineRule="auto"/>
      </w:pPr>
      <w:r>
        <w:rPr>
          <w:color w:val="000000"/>
        </w:rPr>
        <w:t>scratch-coder and project-owner REDCap instruments, data dictionaries, import files, and export specifications;</w:t>
      </w:r>
    </w:p>
    <w:p w14:paraId="0945CF04" w14:textId="77777777" w:rsidR="009221D1" w:rsidRDefault="00113FAB">
      <w:pPr>
        <w:numPr>
          <w:ilvl w:val="0"/>
          <w:numId w:val="1"/>
        </w:numPr>
        <w:pBdr>
          <w:top w:val="nil"/>
          <w:left w:val="nil"/>
          <w:bottom w:val="nil"/>
          <w:right w:val="nil"/>
          <w:between w:val="nil"/>
        </w:pBdr>
        <w:spacing w:after="0" w:line="252" w:lineRule="auto"/>
      </w:pPr>
      <w:r>
        <w:rPr>
          <w:color w:val="000000"/>
        </w:rPr>
        <w:t>analysis code for agreement metrics, bootstrap intervals, tag diagnostics, adjudication presentation and source-reveal logs, and release-decision tables;</w:t>
      </w:r>
    </w:p>
    <w:p w14:paraId="562378BC" w14:textId="77777777" w:rsidR="009221D1" w:rsidRDefault="00113FAB">
      <w:pPr>
        <w:numPr>
          <w:ilvl w:val="0"/>
          <w:numId w:val="1"/>
        </w:numPr>
        <w:pBdr>
          <w:top w:val="nil"/>
          <w:left w:val="nil"/>
          <w:bottom w:val="nil"/>
          <w:right w:val="nil"/>
          <w:between w:val="nil"/>
        </w:pBdr>
        <w:spacing w:after="50" w:line="252" w:lineRule="auto"/>
      </w:pPr>
      <w:r>
        <w:t xml:space="preserve">the protocol-deviation log, instrument-change log, and dated pilot-feedback log. </w:t>
      </w:r>
    </w:p>
    <w:p w14:paraId="29DBAB8D" w14:textId="77777777" w:rsidR="009221D1" w:rsidRDefault="009221D1">
      <w:pPr>
        <w:pBdr>
          <w:top w:val="nil"/>
          <w:left w:val="nil"/>
          <w:bottom w:val="nil"/>
          <w:right w:val="nil"/>
          <w:between w:val="nil"/>
        </w:pBdr>
        <w:spacing w:after="50" w:line="252" w:lineRule="auto"/>
      </w:pPr>
    </w:p>
    <w:p w14:paraId="6B50FF3C" w14:textId="77777777" w:rsidR="009221D1" w:rsidRDefault="00113FAB">
      <w:r>
        <w:t>Any substantive amendment will be versioned and documented before the affected sampling, coding, or analysis step. Active and reserve identities are not generated until the preregistration has been registered and the subsequent sampling gate has been authorised. Active sample identities remain access-controlled during coding and are released only under the later disclosure and reproducibility plan after release cannot compromise blinded work. Unused reserve Record IDs, allocation fields and related sampling artefacts remain embargoed and unexamined while they are eligible for a clean retest; activated reserve records are documented through the relevant amendment and replacement audit. Raw owner comments will not be published without permission where they reveal non-public information or identify individuals beyond the public register.</w:t>
      </w:r>
    </w:p>
    <w:p w14:paraId="1D5C97C9" w14:textId="77777777" w:rsidR="009221D1" w:rsidRDefault="00113FAB">
      <w:pPr>
        <w:pStyle w:val="Heading1"/>
      </w:pPr>
      <w:r>
        <w:t>12. Known limitations</w:t>
      </w:r>
    </w:p>
    <w:p w14:paraId="0437BE95" w14:textId="77777777" w:rsidR="009221D1" w:rsidRDefault="00113FAB">
      <w:pPr>
        <w:numPr>
          <w:ilvl w:val="0"/>
          <w:numId w:val="1"/>
        </w:numPr>
        <w:pBdr>
          <w:top w:val="nil"/>
          <w:left w:val="nil"/>
          <w:bottom w:val="nil"/>
          <w:right w:val="nil"/>
          <w:between w:val="nil"/>
        </w:pBdr>
        <w:spacing w:after="0" w:line="252" w:lineRule="auto"/>
      </w:pPr>
      <w:r>
        <w:rPr>
          <w:color w:val="000000"/>
        </w:rPr>
        <w:t>The all-human benchmark is conditional on these three coders, shared training, and taxonomy guide and does not estimate a universal human reliability ceiling. The trained-panel benchmark reflects coders calibrated through both the initial training and a shared post-pilot clarification note.</w:t>
      </w:r>
    </w:p>
    <w:p w14:paraId="69971552" w14:textId="77777777" w:rsidR="009221D1" w:rsidRDefault="00113FAB">
      <w:pPr>
        <w:numPr>
          <w:ilvl w:val="0"/>
          <w:numId w:val="1"/>
        </w:numPr>
        <w:pBdr>
          <w:top w:val="nil"/>
          <w:left w:val="nil"/>
          <w:bottom w:val="nil"/>
          <w:right w:val="nil"/>
          <w:between w:val="nil"/>
        </w:pBdr>
        <w:spacing w:after="0" w:line="252" w:lineRule="auto"/>
      </w:pPr>
      <w:r>
        <w:t>Bootstrap intervals resample records, not raters, and therefore do not capture rater-sampling uncertainty.</w:t>
      </w:r>
    </w:p>
    <w:p w14:paraId="6419D7A8" w14:textId="77777777" w:rsidR="009221D1" w:rsidRDefault="00113FAB">
      <w:pPr>
        <w:numPr>
          <w:ilvl w:val="0"/>
          <w:numId w:val="1"/>
        </w:numPr>
        <w:pBdr>
          <w:top w:val="nil"/>
          <w:left w:val="nil"/>
          <w:bottom w:val="nil"/>
          <w:right w:val="nil"/>
          <w:between w:val="nil"/>
        </w:pBdr>
        <w:spacing w:after="0" w:line="252" w:lineRule="auto"/>
      </w:pPr>
      <w:r>
        <w:rPr>
          <w:color w:val="000000"/>
        </w:rPr>
        <w:t>The n=150 baseline supports broad descriptive estimates but is not powered to demonstrate tight statistical equivalence in replacement-alpha differences.</w:t>
      </w:r>
    </w:p>
    <w:p w14:paraId="4E734550" w14:textId="77777777" w:rsidR="009221D1" w:rsidRDefault="00113FAB">
      <w:pPr>
        <w:numPr>
          <w:ilvl w:val="0"/>
          <w:numId w:val="1"/>
        </w:numPr>
        <w:pBdr>
          <w:top w:val="nil"/>
          <w:left w:val="nil"/>
          <w:bottom w:val="nil"/>
          <w:right w:val="nil"/>
          <w:between w:val="nil"/>
        </w:pBdr>
        <w:spacing w:after="0" w:line="252" w:lineRule="auto"/>
      </w:pPr>
      <w:r>
        <w:t>The production repeat-run analysis used a fixed sample of 201 records and only two runs, so it is a stability diagnostic rather than a precise register-wide estimate of stochastic variation.</w:t>
      </w:r>
    </w:p>
    <w:p w14:paraId="3736DC83" w14:textId="77777777" w:rsidR="009221D1" w:rsidRDefault="00113FAB">
      <w:pPr>
        <w:numPr>
          <w:ilvl w:val="0"/>
          <w:numId w:val="1"/>
        </w:numPr>
        <w:pBdr>
          <w:top w:val="nil"/>
          <w:left w:val="nil"/>
          <w:bottom w:val="nil"/>
          <w:right w:val="nil"/>
          <w:between w:val="nil"/>
        </w:pBdr>
        <w:spacing w:after="0" w:line="252" w:lineRule="auto"/>
      </w:pPr>
      <w:r>
        <w:t>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14:paraId="4EB66E3F" w14:textId="77777777" w:rsidR="009221D1" w:rsidRDefault="00113FAB">
      <w:pPr>
        <w:numPr>
          <w:ilvl w:val="0"/>
          <w:numId w:val="1"/>
        </w:numPr>
        <w:pBdr>
          <w:top w:val="nil"/>
          <w:left w:val="nil"/>
          <w:bottom w:val="nil"/>
          <w:right w:val="nil"/>
          <w:between w:val="nil"/>
        </w:pBdr>
        <w:spacing w:after="0" w:line="252" w:lineRule="auto"/>
      </w:pPr>
      <w:r>
        <w:t>Rare labels may not support stable per-label metrics. Binary-tag findings may also be unstable because of low prevalence and will therefore be interpreted using both overall and class-specific agreement measures.</w:t>
      </w:r>
    </w:p>
    <w:p w14:paraId="7E9482EC" w14:textId="77777777" w:rsidR="00F80CC4" w:rsidRDefault="00F80CC4">
      <w:pPr>
        <w:numPr>
          <w:ilvl w:val="0"/>
          <w:numId w:val="1"/>
        </w:numPr>
        <w:pBdr>
          <w:top w:val="nil"/>
          <w:left w:val="nil"/>
          <w:bottom w:val="nil"/>
          <w:right w:val="nil"/>
          <w:between w:val="nil"/>
        </w:pBdr>
        <w:spacing w:after="0" w:line="252" w:lineRule="auto"/>
        <w:rPr>
          <w:color w:val="000000"/>
        </w:rPr>
      </w:pPr>
      <w:r>
        <w:rPr>
          <w:color w:val="000000"/>
        </w:rPr>
        <w:t>Public register entries vary in descriptive quality, and register sufficiency is partly conditional on coder familiarity with named datasets. Sufficiency estimates apply to this trained panel and guide, not as an absolute property of the register. Although coders disclose prior project involvement, professional or institutional familiarity, and accidental exposure and are instructed to classify only from permitted evidence, residual influence from prior project knowledge cannot be eliminated.</w:t>
      </w:r>
    </w:p>
    <w:p w14:paraId="51819C4A" w14:textId="2444CDB6" w:rsidR="009221D1" w:rsidRDefault="00113FAB">
      <w:pPr>
        <w:numPr>
          <w:ilvl w:val="0"/>
          <w:numId w:val="1"/>
        </w:numPr>
        <w:pBdr>
          <w:top w:val="nil"/>
          <w:left w:val="nil"/>
          <w:bottom w:val="nil"/>
          <w:right w:val="nil"/>
          <w:between w:val="nil"/>
        </w:pBdr>
        <w:spacing w:after="0" w:line="252" w:lineRule="auto"/>
      </w:pPr>
      <w:r>
        <w:t>Adjudication-source frequencies apply only to the pre-specified adjudication population. Most cases receive one primary review, with second review limited to the audit and decision-relevant cases; diagnoses are structured expert judgements rather than replicated consensus.</w:t>
      </w:r>
    </w:p>
    <w:p w14:paraId="7455B333" w14:textId="77777777" w:rsidR="009221D1" w:rsidRDefault="00113FAB">
      <w:pPr>
        <w:numPr>
          <w:ilvl w:val="0"/>
          <w:numId w:val="1"/>
        </w:numPr>
        <w:spacing w:after="0" w:line="252" w:lineRule="auto"/>
      </w:pPr>
      <w:r>
        <w:t xml:space="preserve">Project-owner review is purposively recruited and subject to non-response and response self-selection. It is project-informed and proposal-anchored and is not a register-wide accuracy estimate or portfolio-level gold standard. </w:t>
      </w:r>
    </w:p>
    <w:p w14:paraId="16C89015" w14:textId="77777777" w:rsidR="009221D1" w:rsidRDefault="00113FAB">
      <w:pPr>
        <w:numPr>
          <w:ilvl w:val="0"/>
          <w:numId w:val="1"/>
        </w:numPr>
        <w:spacing w:after="0" w:line="252" w:lineRule="auto"/>
      </w:pPr>
      <w:r>
        <w:t xml:space="preserve">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review burden is uneven because invited researchers are asked to review all eligible records on which they are named. Owner-stream composition will therefore be reported descriptively and will not be treated as representative. </w:t>
      </w:r>
    </w:p>
    <w:p w14:paraId="274C467A" w14:textId="77777777" w:rsidR="009221D1" w:rsidRDefault="009221D1">
      <w:pPr>
        <w:pBdr>
          <w:top w:val="nil"/>
          <w:left w:val="nil"/>
          <w:bottom w:val="nil"/>
          <w:right w:val="nil"/>
          <w:between w:val="nil"/>
        </w:pBdr>
        <w:spacing w:after="0" w:line="252" w:lineRule="auto"/>
      </w:pPr>
    </w:p>
    <w:sectPr w:rsidR="009221D1">
      <w:pgSz w:w="11906" w:h="16838"/>
      <w:pgMar w:top="1134" w:right="1247"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D532A5F-EA6A-4A8F-957B-A2FD0D89E30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43EBF7-C6C6-43AC-B38D-0D8EE735F74F}"/>
    <w:embedItalic r:id="rId3" w:fontKey="{51DC7257-AAD1-4263-96F6-1F1508D91050}"/>
    <w:embedBoldItalic r:id="rId4" w:fontKey="{2470BF3A-133D-4FF4-842F-4DEA04DCD115}"/>
  </w:font>
  <w:font w:name="Cambria">
    <w:panose1 w:val="02040503050406030204"/>
    <w:charset w:val="00"/>
    <w:family w:val="roman"/>
    <w:pitch w:val="variable"/>
    <w:sig w:usb0="E00006FF" w:usb1="420024FF" w:usb2="02000000" w:usb3="00000000" w:csb0="0000019F" w:csb1="00000000"/>
    <w:embedRegular r:id="rId5" w:fontKey="{7CEAE69F-4394-440E-999D-51639F338F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6C8"/>
    <w:multiLevelType w:val="multilevel"/>
    <w:tmpl w:val="CCBAA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412EA5"/>
    <w:multiLevelType w:val="multilevel"/>
    <w:tmpl w:val="38DCB5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1543533">
    <w:abstractNumId w:val="1"/>
  </w:num>
  <w:num w:numId="2" w16cid:durableId="199186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D1"/>
    <w:rsid w:val="00113FAB"/>
    <w:rsid w:val="00214B5A"/>
    <w:rsid w:val="00337593"/>
    <w:rsid w:val="008C2290"/>
    <w:rsid w:val="009221D1"/>
    <w:rsid w:val="00F80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386E"/>
  <w15:docId w15:val="{ACE46436-3AB1-46A2-989F-6D830B74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GB"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color w:val="366091"/>
      <w:sz w:val="28"/>
      <w:szCs w:val="28"/>
    </w:rPr>
  </w:style>
  <w:style w:type="paragraph" w:styleId="Heading2">
    <w:name w:val="heading 2"/>
    <w:basedOn w:val="Normal"/>
    <w:next w:val="Normal"/>
    <w:uiPriority w:val="9"/>
    <w:unhideWhenUsed/>
    <w:qFormat/>
    <w:pPr>
      <w:keepNext/>
      <w:keepLines/>
      <w:spacing w:before="200"/>
      <w:outlineLvl w:val="1"/>
    </w:pPr>
    <w:rPr>
      <w:b/>
      <w:bCs/>
      <w:color w:val="4F81BD"/>
      <w:sz w:val="25"/>
      <w:szCs w:val="25"/>
    </w:rPr>
  </w:style>
  <w:style w:type="paragraph" w:styleId="Heading3">
    <w:name w:val="heading 3"/>
    <w:basedOn w:val="Normal"/>
    <w:next w:val="Normal"/>
    <w:uiPriority w:val="9"/>
    <w:semiHidden/>
    <w:unhideWhenUsed/>
    <w:qFormat/>
    <w:pPr>
      <w:keepNext/>
      <w:keepLines/>
      <w:spacing w:before="200"/>
      <w:outlineLvl w:val="2"/>
    </w:pPr>
    <w:rPr>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line="240" w:lineRule="auto"/>
    </w:pPr>
    <w:rPr>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GwdK30lHMpm3jfL6GGzaIg1OQ==">CgMxLjAyDmguYmZuMnpsNmdrZ243Mg5oLndlbDd1M3kzMzY0ZzIOaC4ybTlzNnlrbW8zOHQyDmguYzB2NjdmYXBkYmw1Mg5oLnMyZzc1c28wM3BqYjgAciExR1hrNkphaExpQWpqa21tSDRudUlnNXJ4bkFvVEtMaUU=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9681</Words>
  <Characters>55185</Characters>
  <Application>Microsoft Office Word</Application>
  <DocSecurity>0</DocSecurity>
  <Lines>459</Lines>
  <Paragraphs>129</Paragraphs>
  <ScaleCrop>false</ScaleCrop>
  <Company/>
  <LinksUpToDate>false</LinksUpToDate>
  <CharactersWithSpaces>64737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3</cp:revision>
  <dcterms:created xsi:type="dcterms:W3CDTF">2026-07-22T06:41:00Z</dcterms:created>
  <dcterms:modified xsi:type="dcterms:W3CDTF">2026-07-22T06:52:00Z</dcterms:modified>
</cp:coreProperties>
</file>