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3"/>
        <w:gridCol w:w="284"/>
        <w:gridCol w:w="6469"/>
      </w:tblGrid>
      <w:tr w:rsidR="00791D13" w:rsidRPr="002C41E0" w:rsidTr="001C18B2">
        <w:tc>
          <w:tcPr>
            <w:tcW w:w="2263" w:type="dxa"/>
          </w:tcPr>
          <w:p w:rsidR="00791D13" w:rsidRPr="002C41E0" w:rsidRDefault="00791D13" w:rsidP="001C18B2">
            <w:pPr>
              <w:pStyle w:val="NoSpacing"/>
            </w:pPr>
            <w:proofErr w:type="spellStart"/>
            <w:r w:rsidRPr="002C41E0">
              <w:rPr>
                <w:rFonts w:ascii="Arial" w:hAnsi="Arial" w:cs="Arial"/>
              </w:rPr>
              <w:t>Lampiran</w:t>
            </w:r>
            <w:proofErr w:type="spellEnd"/>
            <w:r w:rsidRPr="002C41E0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</w:tcPr>
          <w:p w:rsidR="00791D13" w:rsidRPr="002C41E0" w:rsidRDefault="00791D13" w:rsidP="001C18B2">
            <w:pPr>
              <w:pStyle w:val="NoSpacing"/>
            </w:pPr>
            <w:r w:rsidRPr="002C41E0">
              <w:t>:</w:t>
            </w:r>
          </w:p>
        </w:tc>
        <w:tc>
          <w:tcPr>
            <w:tcW w:w="6469" w:type="dxa"/>
          </w:tcPr>
          <w:p w:rsidR="00791D13" w:rsidRPr="002C41E0" w:rsidRDefault="00791D13" w:rsidP="001C18B2">
            <w:pPr>
              <w:pStyle w:val="NoSpacing"/>
            </w:pPr>
            <w:proofErr w:type="spellStart"/>
            <w:r w:rsidRPr="002C41E0">
              <w:rPr>
                <w:rFonts w:ascii="Arial" w:hAnsi="Arial" w:cs="Arial"/>
              </w:rPr>
              <w:t>Surat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Keputusan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Kuasa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Pengguna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Anggaran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Balai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Penelitian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Tanaman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pemanis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dan</w:t>
            </w:r>
            <w:proofErr w:type="spellEnd"/>
            <w:r w:rsidRPr="002C41E0">
              <w:rPr>
                <w:rFonts w:ascii="Arial" w:hAnsi="Arial" w:cs="Arial"/>
              </w:rPr>
              <w:t xml:space="preserve"> </w:t>
            </w:r>
            <w:proofErr w:type="spellStart"/>
            <w:r w:rsidRPr="002C41E0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791D13" w:rsidRPr="002C41E0" w:rsidTr="001C18B2">
        <w:tc>
          <w:tcPr>
            <w:tcW w:w="2263" w:type="dxa"/>
          </w:tcPr>
          <w:p w:rsidR="00791D13" w:rsidRPr="002C41E0" w:rsidRDefault="00791D13" w:rsidP="001C18B2">
            <w:pPr>
              <w:pStyle w:val="NoSpacing"/>
            </w:pPr>
            <w:proofErr w:type="spellStart"/>
            <w:r w:rsidRPr="002C41E0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</w:tcPr>
          <w:p w:rsidR="00791D13" w:rsidRPr="002C41E0" w:rsidRDefault="00791D13" w:rsidP="001C18B2">
            <w:pPr>
              <w:pStyle w:val="NoSpacing"/>
            </w:pPr>
            <w:r w:rsidRPr="002C41E0">
              <w:t>:</w:t>
            </w:r>
          </w:p>
        </w:tc>
        <w:tc>
          <w:tcPr>
            <w:tcW w:w="6469" w:type="dxa"/>
          </w:tcPr>
          <w:p w:rsidR="00791D13" w:rsidRPr="002C41E0" w:rsidRDefault="00791D13" w:rsidP="001C18B2">
            <w:pPr>
              <w:pStyle w:val="NoSpacing"/>
            </w:pPr>
            <w:r w:rsidRPr="002C41E0">
              <w:rPr>
                <w:rFonts w:ascii="Arial" w:hAnsi="Arial" w:cs="Arial"/>
              </w:rPr>
              <w:t>25/</w:t>
            </w:r>
            <w:proofErr w:type="spellStart"/>
            <w:r w:rsidRPr="002C41E0">
              <w:rPr>
                <w:rFonts w:ascii="Arial" w:hAnsi="Arial" w:cs="Arial"/>
              </w:rPr>
              <w:t>Kpts</w:t>
            </w:r>
            <w:proofErr w:type="spellEnd"/>
            <w:r w:rsidRPr="002C41E0">
              <w:rPr>
                <w:rFonts w:ascii="Arial" w:hAnsi="Arial" w:cs="Arial"/>
              </w:rPr>
              <w:t>/KP.240/H.4.2/1/2020</w:t>
            </w:r>
          </w:p>
        </w:tc>
      </w:tr>
    </w:tbl>
    <w:p w:rsidR="00676DAF" w:rsidRDefault="00676DAF" w:rsidP="00676DAF">
      <w:pPr>
        <w:pStyle w:val="NoSpacing"/>
      </w:pPr>
    </w:p>
    <w:tbl>
      <w:tblPr>
        <w:tblW w:w="93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4"/>
        <w:gridCol w:w="2977"/>
        <w:gridCol w:w="2694"/>
        <w:gridCol w:w="3000"/>
      </w:tblGrid>
      <w:tr w:rsidR="00791D13" w:rsidRPr="00791D13" w:rsidTr="00D05AF3">
        <w:trPr>
          <w:trHeight w:val="345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000000"/>
              </w:rPr>
            </w:pPr>
            <w:r w:rsidRPr="00791D13">
              <w:rPr>
                <w:rFonts w:ascii="Arial Narrow" w:hAnsi="Arial Narrow"/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Judul</w:t>
            </w:r>
            <w:proofErr w:type="spellEnd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RPTP/RDHP </w:t>
            </w: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791D13" w:rsidRPr="00791D13" w:rsidRDefault="00791D13" w:rsidP="00D05AF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Ketua</w:t>
            </w:r>
            <w:proofErr w:type="spellEnd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  <w:tc>
          <w:tcPr>
            <w:tcW w:w="3000" w:type="dxa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Anggota</w:t>
            </w:r>
            <w:proofErr w:type="spellEnd"/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</w:tr>
      <w:tr w:rsidR="00791D13" w:rsidRPr="00791D13" w:rsidTr="00D05AF3">
        <w:trPr>
          <w:trHeight w:val="345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color w:val="000000"/>
              </w:rPr>
            </w:pPr>
            <w:r w:rsidRPr="00791D13">
              <w:rPr>
                <w:rFonts w:ascii="Arial Narrow" w:hAnsi="Arial Narrow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791D13" w:rsidRPr="00791D13" w:rsidRDefault="00791D13" w:rsidP="00D05AF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0" w:type="dxa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91D13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 w:val="restart"/>
            <w:shd w:val="clear" w:color="auto" w:fill="auto"/>
            <w:noWrap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7" w:type="dxa"/>
            <w:vMerge w:val="restart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Pemanis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Serat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Tembakau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Minyak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Industri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</w:tc>
        <w:tc>
          <w:tcPr>
            <w:tcW w:w="3000" w:type="dxa"/>
            <w:vMerge w:val="restart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791D13" w:rsidRPr="00791D13" w:rsidTr="00D05AF3">
        <w:trPr>
          <w:trHeight w:val="750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330"/>
        </w:trPr>
        <w:tc>
          <w:tcPr>
            <w:tcW w:w="724" w:type="dxa"/>
            <w:vMerge w:val="restart"/>
            <w:shd w:val="clear" w:color="auto" w:fill="auto"/>
            <w:noWrap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977" w:type="dxa"/>
            <w:vMerge w:val="restart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tahunan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000" w:type="dxa"/>
            <w:vMerge w:val="restart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27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5069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2.1.1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Setyo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Budi,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Budi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Fatkhur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Rochman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Prima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Diarini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R.,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Aprilia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Ridhawati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Moch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Machfud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  <w:tr w:rsidR="00791D13" w:rsidRPr="00791D13" w:rsidTr="00D05AF3">
        <w:trPr>
          <w:trHeight w:val="3959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2.1.2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abaka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agave,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rami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SP.,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Setyo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Budi,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Budi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Istiyana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Mochamad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Sohri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  <w:tr w:rsidR="00791D13" w:rsidRPr="00791D13" w:rsidTr="00D05AF3">
        <w:trPr>
          <w:trHeight w:val="2966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lastRenderedPageBreak/>
              <w:t>2.1.3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Konservasi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jarak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pagar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kemiri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sunan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Weda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Makarti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Mahayu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SP.,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Aprilia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Ridhawati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Moch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Machfud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  <w:tr w:rsidR="00791D13" w:rsidRPr="00791D13" w:rsidTr="00D05AF3">
        <w:trPr>
          <w:trHeight w:val="330"/>
        </w:trPr>
        <w:tc>
          <w:tcPr>
            <w:tcW w:w="724" w:type="dxa"/>
            <w:vMerge w:val="restart"/>
            <w:shd w:val="clear" w:color="auto" w:fill="auto"/>
            <w:noWrap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2977" w:type="dxa"/>
            <w:vMerge w:val="restart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semusim</w:t>
            </w:r>
            <w:proofErr w:type="spellEnd"/>
          </w:p>
        </w:tc>
        <w:tc>
          <w:tcPr>
            <w:tcW w:w="2694" w:type="dxa"/>
            <w:vMerge w:val="restart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000" w:type="dxa"/>
            <w:vMerge w:val="restart"/>
            <w:shd w:val="clear" w:color="auto" w:fill="auto"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791D13" w:rsidRPr="00791D13" w:rsidTr="00D05AF3">
        <w:trPr>
          <w:trHeight w:val="315"/>
        </w:trPr>
        <w:tc>
          <w:tcPr>
            <w:tcW w:w="724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4" w:type="dxa"/>
            <w:vMerge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791D13" w:rsidRPr="00791D13" w:rsidTr="00D05AF3">
        <w:trPr>
          <w:trHeight w:val="3033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2.2.1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kapas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SP., MP</w:t>
            </w:r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Taufiq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Hidayat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RS.,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MSi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  <w:tr w:rsidR="00791D13" w:rsidRPr="00791D13" w:rsidTr="00D05AF3">
        <w:trPr>
          <w:trHeight w:val="3306"/>
        </w:trPr>
        <w:tc>
          <w:tcPr>
            <w:tcW w:w="724" w:type="dxa"/>
            <w:shd w:val="clear" w:color="auto" w:fill="auto"/>
            <w:noWrap/>
            <w:hideMark/>
          </w:tcPr>
          <w:p w:rsidR="00791D13" w:rsidRPr="00791D13" w:rsidRDefault="00791D13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2.2.2</w:t>
            </w:r>
          </w:p>
        </w:tc>
        <w:tc>
          <w:tcPr>
            <w:tcW w:w="2977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kenaf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rosela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yute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791D13" w:rsidRPr="00791D13" w:rsidRDefault="00791D13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Untung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Setyo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Budi,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Drs.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Impron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Sodikin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Suyatno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791D13" w:rsidRPr="00791D13" w:rsidRDefault="00791D13" w:rsidP="00791D1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  <w:tr w:rsidR="002954D7" w:rsidRPr="00791D13" w:rsidTr="00D05AF3">
        <w:trPr>
          <w:trHeight w:val="2829"/>
        </w:trPr>
        <w:tc>
          <w:tcPr>
            <w:tcW w:w="724" w:type="dxa"/>
            <w:shd w:val="clear" w:color="auto" w:fill="auto"/>
            <w:noWrap/>
            <w:hideMark/>
          </w:tcPr>
          <w:p w:rsidR="002954D7" w:rsidRPr="00791D13" w:rsidRDefault="002954D7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2.2.3</w:t>
            </w:r>
          </w:p>
        </w:tc>
        <w:tc>
          <w:tcPr>
            <w:tcW w:w="2977" w:type="dxa"/>
            <w:shd w:val="clear" w:color="auto" w:fill="auto"/>
            <w:hideMark/>
          </w:tcPr>
          <w:p w:rsidR="002954D7" w:rsidRPr="00791D13" w:rsidRDefault="002954D7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wijen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2954D7" w:rsidRPr="00791D13" w:rsidRDefault="002954D7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Kadarsih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SP.,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Prabowo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MSc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Yoga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Angangga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Yogi,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Istiyana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Mochamad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Sohri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  <w:tr w:rsidR="002954D7" w:rsidRPr="00791D13" w:rsidTr="00D05AF3">
        <w:trPr>
          <w:trHeight w:val="2966"/>
        </w:trPr>
        <w:tc>
          <w:tcPr>
            <w:tcW w:w="724" w:type="dxa"/>
            <w:shd w:val="clear" w:color="auto" w:fill="auto"/>
            <w:noWrap/>
            <w:hideMark/>
          </w:tcPr>
          <w:p w:rsidR="002954D7" w:rsidRPr="00791D13" w:rsidRDefault="002954D7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lastRenderedPageBreak/>
              <w:t>2.2.4</w:t>
            </w:r>
          </w:p>
        </w:tc>
        <w:tc>
          <w:tcPr>
            <w:tcW w:w="2977" w:type="dxa"/>
            <w:shd w:val="clear" w:color="auto" w:fill="auto"/>
            <w:hideMark/>
          </w:tcPr>
          <w:p w:rsidR="002954D7" w:rsidRPr="00791D13" w:rsidRDefault="002954D7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Rejuvinasi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karakterisasi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evaluasi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tembakau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2954D7" w:rsidRPr="00791D13" w:rsidRDefault="002954D7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Yulaikah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2954D7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7E32E6" w:rsidRPr="00791D13" w:rsidRDefault="007E32E6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Fatkhur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Rochman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Impron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Sodikin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Sumadi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Dudut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Sunardi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2954D7" w:rsidRPr="00791D13" w:rsidRDefault="002954D7" w:rsidP="002954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</w:tc>
      </w:tr>
      <w:tr w:rsidR="00196E6D" w:rsidRPr="00791D13" w:rsidTr="00D05AF3">
        <w:trPr>
          <w:trHeight w:val="4099"/>
        </w:trPr>
        <w:tc>
          <w:tcPr>
            <w:tcW w:w="724" w:type="dxa"/>
            <w:shd w:val="clear" w:color="auto" w:fill="auto"/>
            <w:noWrap/>
            <w:hideMark/>
          </w:tcPr>
          <w:p w:rsidR="00196E6D" w:rsidRPr="00791D13" w:rsidRDefault="00196E6D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977" w:type="dxa"/>
            <w:shd w:val="clear" w:color="auto" w:fill="auto"/>
            <w:hideMark/>
          </w:tcPr>
          <w:p w:rsidR="00196E6D" w:rsidRPr="00791D13" w:rsidRDefault="00196E6D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Monitoring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benih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tanaman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pemanis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serat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tembakau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mminyak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industri</w:t>
            </w:r>
            <w:proofErr w:type="spellEnd"/>
          </w:p>
        </w:tc>
        <w:tc>
          <w:tcPr>
            <w:tcW w:w="2694" w:type="dxa"/>
            <w:shd w:val="clear" w:color="auto" w:fill="auto"/>
            <w:hideMark/>
          </w:tcPr>
          <w:p w:rsidR="00196E6D" w:rsidRPr="00791D13" w:rsidRDefault="00196E6D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Taufiq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Hidayat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RS.,MP</w:t>
            </w:r>
          </w:p>
        </w:tc>
        <w:tc>
          <w:tcPr>
            <w:tcW w:w="3000" w:type="dxa"/>
            <w:shd w:val="clear" w:color="auto" w:fill="auto"/>
            <w:hideMark/>
          </w:tcPr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Fatkhur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Rochman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Aprilia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Ridhawati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Yulaikah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Mulyani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BA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</w:tc>
      </w:tr>
      <w:tr w:rsidR="00196E6D" w:rsidRPr="00791D13" w:rsidTr="00D05AF3">
        <w:trPr>
          <w:trHeight w:val="1833"/>
        </w:trPr>
        <w:tc>
          <w:tcPr>
            <w:tcW w:w="724" w:type="dxa"/>
            <w:shd w:val="clear" w:color="auto" w:fill="auto"/>
            <w:noWrap/>
            <w:hideMark/>
          </w:tcPr>
          <w:p w:rsidR="00196E6D" w:rsidRPr="00791D13" w:rsidRDefault="00196E6D" w:rsidP="00791D1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977" w:type="dxa"/>
            <w:shd w:val="clear" w:color="auto" w:fill="auto"/>
            <w:hideMark/>
          </w:tcPr>
          <w:p w:rsidR="00196E6D" w:rsidRPr="00791D13" w:rsidRDefault="00196E6D" w:rsidP="00791D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i/>
                <w:iCs/>
                <w:color w:val="000000"/>
                <w:sz w:val="22"/>
                <w:szCs w:val="22"/>
              </w:rPr>
              <w:t>Re-grouping</w:t>
            </w:r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 xml:space="preserve"> plasma </w:t>
            </w:r>
            <w:proofErr w:type="spellStart"/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>nutfah</w:t>
            </w:r>
            <w:proofErr w:type="spellEnd"/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>tebu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7E32E6">
              <w:rPr>
                <w:rFonts w:ascii="Arial Narrow" w:hAnsi="Arial Narrow"/>
                <w:color w:val="000000"/>
                <w:sz w:val="22"/>
                <w:szCs w:val="22"/>
              </w:rPr>
              <w:t>kapok</w:t>
            </w:r>
          </w:p>
        </w:tc>
        <w:tc>
          <w:tcPr>
            <w:tcW w:w="2694" w:type="dxa"/>
            <w:shd w:val="clear" w:color="auto" w:fill="auto"/>
            <w:hideMark/>
          </w:tcPr>
          <w:p w:rsidR="00196E6D" w:rsidRPr="00791D13" w:rsidRDefault="00196E6D" w:rsidP="00D05AF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Dr.Ir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</w:tc>
        <w:tc>
          <w:tcPr>
            <w:tcW w:w="3000" w:type="dxa"/>
            <w:shd w:val="clear" w:color="auto" w:fill="auto"/>
            <w:hideMark/>
          </w:tcPr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Taufiq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Hidayat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RS.,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Msi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Aprilia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Ridhawati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196E6D" w:rsidRPr="00791D13" w:rsidRDefault="00196E6D" w:rsidP="00196E6D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91D13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</w:tr>
    </w:tbl>
    <w:p w:rsidR="00676DAF" w:rsidRDefault="00676DAF" w:rsidP="00676DAF">
      <w:pPr>
        <w:pStyle w:val="NoSpacing"/>
      </w:pPr>
    </w:p>
    <w:p w:rsidR="002314D8" w:rsidRDefault="002314D8" w:rsidP="002314D8">
      <w:pPr>
        <w:pStyle w:val="NoSpacing"/>
        <w:jc w:val="right"/>
      </w:pPr>
      <w:r w:rsidRPr="002314D8">
        <w:rPr>
          <w:noProof/>
          <w:lang w:val="en-US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4D8" w:rsidSect="00791D13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DAF"/>
    <w:rsid w:val="00020222"/>
    <w:rsid w:val="000B718A"/>
    <w:rsid w:val="00196E6D"/>
    <w:rsid w:val="002314D8"/>
    <w:rsid w:val="002954D7"/>
    <w:rsid w:val="002C41E0"/>
    <w:rsid w:val="003B425F"/>
    <w:rsid w:val="00405E55"/>
    <w:rsid w:val="004A6C7C"/>
    <w:rsid w:val="005E37C9"/>
    <w:rsid w:val="00676DAF"/>
    <w:rsid w:val="00791D13"/>
    <w:rsid w:val="007E32E6"/>
    <w:rsid w:val="008038E5"/>
    <w:rsid w:val="00B879D6"/>
    <w:rsid w:val="00C304DF"/>
    <w:rsid w:val="00CB56DF"/>
    <w:rsid w:val="00D05AF3"/>
    <w:rsid w:val="00E13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D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AXIOO CLW3522</cp:lastModifiedBy>
  <cp:revision>9</cp:revision>
  <dcterms:created xsi:type="dcterms:W3CDTF">2020-04-16T04:23:00Z</dcterms:created>
  <dcterms:modified xsi:type="dcterms:W3CDTF">2020-04-17T01:25:00Z</dcterms:modified>
</cp:coreProperties>
</file>