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CC1C44" w:rsidRDefault="00AE43AC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Добрый день. Меня зовут </w:t>
      </w:r>
      <w:proofErr w:type="spellStart"/>
      <w:r w:rsidRPr="00CC1C44">
        <w:rPr>
          <w:rFonts w:cstheme="minorHAnsi"/>
          <w:sz w:val="28"/>
          <w:szCs w:val="28"/>
        </w:rPr>
        <w:t>Балкаров</w:t>
      </w:r>
      <w:proofErr w:type="spellEnd"/>
      <w:r w:rsidRPr="00CC1C44">
        <w:rPr>
          <w:rFonts w:cstheme="minorHAnsi"/>
          <w:sz w:val="28"/>
          <w:szCs w:val="28"/>
        </w:rPr>
        <w:t xml:space="preserve"> Владислав, </w:t>
      </w:r>
      <w:proofErr w:type="spellStart"/>
      <w:r w:rsidRPr="00CC1C44">
        <w:rPr>
          <w:rFonts w:cstheme="minorHAnsi"/>
          <w:sz w:val="28"/>
          <w:szCs w:val="28"/>
        </w:rPr>
        <w:t>студентк</w:t>
      </w:r>
      <w:proofErr w:type="spellEnd"/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 xml:space="preserve">Рост выручки обусловлен как увеличением объемов реализации, так и </w:t>
      </w:r>
      <w:r w:rsidRPr="00780A28">
        <w:rPr>
          <w:sz w:val="28"/>
          <w:szCs w:val="28"/>
        </w:rPr>
        <w:lastRenderedPageBreak/>
        <w:t>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>выручка от реализации продукции, товаров, работ, услуг, налоги и сборы, исчисляемые из выручки от реализации 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По окончании отчетного периода все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, открытые к счету 90 </w:t>
      </w:r>
      <w:r w:rsidRPr="00B23EA3">
        <w:rPr>
          <w:rFonts w:eastAsia="Verdana"/>
          <w:sz w:val="28"/>
          <w:szCs w:val="28"/>
          <w:highlight w:val="green"/>
          <w:lang w:eastAsia="ru-RU"/>
        </w:rPr>
        <w:lastRenderedPageBreak/>
        <w:t xml:space="preserve">«Доходы и расходы по текущей деятельности» (кроме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8E51AF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2)</w:t>
      </w:r>
      <w:r>
        <w:rPr>
          <w:rFonts w:eastAsia="Verdana"/>
          <w:sz w:val="28"/>
          <w:szCs w:val="28"/>
        </w:rPr>
        <w:t xml:space="preserve">По дебету </w:t>
      </w:r>
      <w:proofErr w:type="spellStart"/>
      <w:r>
        <w:rPr>
          <w:rFonts w:eastAsia="Verdana"/>
          <w:sz w:val="28"/>
          <w:szCs w:val="28"/>
        </w:rPr>
        <w:t>субсчета</w:t>
      </w:r>
      <w:proofErr w:type="spellEnd"/>
      <w:r w:rsidRPr="00ED3E16">
        <w:rPr>
          <w:rFonts w:eastAsia="Verdana"/>
          <w:sz w:val="28"/>
          <w:szCs w:val="28"/>
        </w:rPr>
        <w:t xml:space="preserve"> 90-4 «Себестоимость реализованной продукции, товаров, работ, услуг» учитывается себестоимость реализованной продукции, товаров, работ, услуг, по которым на </w:t>
      </w:r>
      <w:proofErr w:type="spellStart"/>
      <w:r w:rsidRPr="00ED3E16">
        <w:rPr>
          <w:rFonts w:eastAsia="Verdana"/>
          <w:sz w:val="28"/>
          <w:szCs w:val="28"/>
        </w:rPr>
        <w:t>субсчете</w:t>
      </w:r>
      <w:proofErr w:type="spellEnd"/>
      <w:r w:rsidRPr="00ED3E16">
        <w:rPr>
          <w:rFonts w:eastAsia="Verdana"/>
          <w:sz w:val="28"/>
          <w:szCs w:val="28"/>
        </w:rPr>
        <w:t xml:space="preserve"> 90-1 «Выручка от реализации продукции, товаров, работ, услуг» отражена выручка.</w:t>
      </w:r>
      <w:r w:rsidRPr="006A737A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 xml:space="preserve">В кредит </w:t>
      </w: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6A737A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Pr="00E43E1C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E43E1C">
        <w:rPr>
          <w:rFonts w:eastAsia="Verdana"/>
          <w:sz w:val="28"/>
          <w:szCs w:val="28"/>
          <w:lang w:eastAsia="ru-RU"/>
        </w:rPr>
        <w:t xml:space="preserve">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</w:t>
      </w:r>
      <w:proofErr w:type="gramStart"/>
      <w:r w:rsidRPr="00E43E1C">
        <w:rPr>
          <w:rFonts w:eastAsia="Verdana"/>
          <w:sz w:val="28"/>
          <w:szCs w:val="28"/>
        </w:rPr>
        <w:t>1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C7722" w:rsidRDefault="00760AC0" w:rsidP="00760AC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инвестиционной и финансовой деятельности. 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91 «Прочие доходы и расходы»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выделим: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Закрытие </w:t>
            </w:r>
            <w:proofErr w:type="spellStart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субсчета</w:t>
            </w:r>
            <w:proofErr w:type="spellEnd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Информация о формировании конечного финансового результата деятельности организации в отчетном году обобщается на активно-пассивном счете 99 «Прибыли и убытки». 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99 «Прибыли и убытки»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«Начисление налога на недвижимость».</w:t>
      </w:r>
    </w:p>
    <w:p w:rsidR="00D64912" w:rsidRPr="00D64912" w:rsidRDefault="00D64912" w:rsidP="00D64912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2E77BD">
      <w:pPr>
        <w:pStyle w:val="point"/>
        <w:shd w:val="clear" w:color="auto" w:fill="FFFFFF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ПУП «</w:t>
      </w:r>
      <w:proofErr w:type="spellStart"/>
      <w:r w:rsidRPr="009C7722">
        <w:rPr>
          <w:rFonts w:eastAsia="Verdana"/>
          <w:sz w:val="28"/>
          <w:szCs w:val="28"/>
        </w:rPr>
        <w:t>Артезио</w:t>
      </w:r>
      <w:proofErr w:type="spellEnd"/>
      <w:r w:rsidRPr="009C7722">
        <w:rPr>
          <w:rFonts w:eastAsia="Verdana"/>
          <w:sz w:val="28"/>
          <w:szCs w:val="28"/>
        </w:rPr>
        <w:t xml:space="preserve">» имеет льготу по налогу на прибыль в соответствии с пунктом 27 Декрета Президента Республики Беларусь от 22 сентября 2005 г. № 12 «О парке высоких технологий» (в редакции Декрета Президента Республики Беларусь 21.12.2017 № 8), согласно которого резиденты Парка высоких технологий освобождаются от </w:t>
      </w:r>
      <w:r w:rsidRPr="009C7722">
        <w:rPr>
          <w:sz w:val="30"/>
          <w:szCs w:val="30"/>
        </w:rPr>
        <w:t>налога на прибыль [33].</w:t>
      </w:r>
    </w:p>
    <w:p w:rsidR="002E77BD" w:rsidRPr="009C7722" w:rsidRDefault="002E77BD" w:rsidP="002E77BD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i/>
          <w:sz w:val="30"/>
          <w:szCs w:val="30"/>
          <w:lang w:eastAsia="ru-RU"/>
        </w:rPr>
      </w:pPr>
      <w:r w:rsidRPr="009C7722">
        <w:rPr>
          <w:rFonts w:eastAsia="Times New Roman"/>
          <w:i/>
          <w:sz w:val="30"/>
          <w:szCs w:val="30"/>
          <w:lang w:eastAsia="ru-RU"/>
        </w:rPr>
        <w:t>Независимо от налоговой льготы, у резидентов Парка высоких технологий облагаются налогом на прибыль по ставке 9 процентов: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отчуждения участником доли (части доли) в уставном фонде, пая (части пая) организации;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lastRenderedPageBreak/>
        <w:t>прибыль от реализации предприятия как имущественного комплекса;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прибыль, полученная от реализации (погашения) ценных бумаг;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доходы в виде процентов за предоставление в пользование денежных средств.</w:t>
      </w:r>
    </w:p>
    <w:p w:rsidR="002E77BD" w:rsidRPr="009C7722" w:rsidRDefault="002E77BD" w:rsidP="002E77BD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о наличии и движении сумм нераспределенной прибыли (непокрытого убытка) организации предназначен счет </w:t>
      </w:r>
      <w:r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Аналитический учет по счету 84 «Нераспределенная прибыль (непокрытый убыток)» ведется таким образом, чтобы обеспечить получение информации по направлениям использования средств. 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84 «Нераспределенная прибыль»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Pr="00D64912" w:rsidRDefault="00D64912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 xml:space="preserve">и сокращению прибыли от </w:t>
      </w:r>
      <w:r>
        <w:rPr>
          <w:rFonts w:eastAsia="Courier New"/>
          <w:sz w:val="28"/>
          <w:szCs w:val="28"/>
          <w:lang w:eastAsia="ru-RU"/>
        </w:rPr>
        <w:lastRenderedPageBreak/>
        <w:t>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FF02BC">
        <w:rPr>
          <w:rFonts w:eastAsia="Times New Roman"/>
          <w:sz w:val="28"/>
          <w:szCs w:val="28"/>
          <w:highlight w:val="magenta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BE3934">
        <w:rPr>
          <w:rFonts w:eastAsia="Times New Roman"/>
          <w:sz w:val="28"/>
          <w:szCs w:val="28"/>
          <w:highlight w:val="green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Рентабельность услуг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 xml:space="preserve">» </w:t>
      </w:r>
      <w:r>
        <w:rPr>
          <w:rFonts w:eastAsia="Times New Roman"/>
          <w:i/>
          <w:sz w:val="28"/>
          <w:szCs w:val="28"/>
          <w:lang w:eastAsia="ru-RU"/>
        </w:rPr>
        <w:t xml:space="preserve">в 2018 г.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11,8 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себестоимости реализованн</w:t>
      </w:r>
      <w:r>
        <w:rPr>
          <w:rFonts w:eastAsia="Times New Roman"/>
          <w:i/>
          <w:iCs/>
          <w:sz w:val="28"/>
          <w:szCs w:val="28"/>
          <w:lang w:eastAsia="ru-RU"/>
        </w:rPr>
        <w:t>ых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услуг приходится 0,118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продукции, работ, услуг. 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п.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за анализируемый период снизилась на 3,3 п. п. и составила в отчетном периоде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Следует отметить положительную динамику рентабельности 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Отрицательная динамика показателей рентабельности,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базирующихся на затратном подходе,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обусловлена </w:t>
      </w:r>
      <w:r>
        <w:rPr>
          <w:rFonts w:eastAsia="Times New Roman"/>
          <w:i/>
          <w:sz w:val="28"/>
          <w:szCs w:val="28"/>
          <w:lang w:eastAsia="ru-RU"/>
        </w:rPr>
        <w:t xml:space="preserve">ростом затрат </w:t>
      </w:r>
      <w:r>
        <w:rPr>
          <w:rFonts w:eastAsia="Times New Roman"/>
          <w:i/>
          <w:iCs/>
          <w:sz w:val="28"/>
          <w:szCs w:val="28"/>
          <w:lang w:eastAsia="ru-RU"/>
        </w:rPr>
        <w:t>по каждому виду деятельности на фоне снижения показателей прибыли по ним.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BE3934">
        <w:rPr>
          <w:rFonts w:eastAsia="Times New Roman"/>
          <w:sz w:val="28"/>
          <w:szCs w:val="28"/>
          <w:highlight w:val="green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За </w:t>
      </w:r>
      <w:r>
        <w:rPr>
          <w:rFonts w:eastAsia="Times New Roman"/>
          <w:i/>
          <w:sz w:val="28"/>
          <w:szCs w:val="28"/>
          <w:lang w:eastAsia="ru-RU"/>
        </w:rPr>
        <w:t xml:space="preserve">2017-2018 гг. 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капитала сократилась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почти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два раза с </w:t>
      </w:r>
      <w:r>
        <w:rPr>
          <w:rFonts w:eastAsia="Times New Roman"/>
          <w:i/>
          <w:iCs/>
          <w:sz w:val="28"/>
          <w:szCs w:val="28"/>
          <w:lang w:eastAsia="ru-RU"/>
        </w:rPr>
        <w:br/>
        <w:t>36,5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до </w:t>
      </w:r>
      <w:r>
        <w:rPr>
          <w:rFonts w:eastAsia="Times New Roman"/>
          <w:i/>
          <w:iCs/>
          <w:sz w:val="28"/>
          <w:szCs w:val="28"/>
          <w:lang w:eastAsia="ru-RU"/>
        </w:rPr>
        <w:t>19,2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%.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Также наблюдается снижение показателей рентабельности долгосрочных и краткосрочных активов на 146,0 и 19,2 п. п. соответственно.</w:t>
      </w:r>
      <w:r w:rsidRPr="00FC3892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Данный факт обусловлен </w:t>
      </w:r>
      <w:r>
        <w:rPr>
          <w:rFonts w:eastAsia="Times New Roman"/>
          <w:i/>
          <w:sz w:val="28"/>
          <w:szCs w:val="28"/>
          <w:lang w:eastAsia="ru-RU"/>
        </w:rPr>
        <w:t>снижением 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до налогообложения </w:t>
      </w:r>
      <w:r>
        <w:rPr>
          <w:rFonts w:eastAsia="Times New Roman"/>
          <w:i/>
          <w:sz w:val="28"/>
          <w:szCs w:val="28"/>
          <w:lang w:eastAsia="ru-RU"/>
        </w:rPr>
        <w:t xml:space="preserve">на фоне роста стоимости капитала и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свидетельствует </w:t>
      </w:r>
      <w:r w:rsidRPr="0025371A">
        <w:rPr>
          <w:rFonts w:eastAsia="Times New Roman"/>
          <w:i/>
          <w:sz w:val="28"/>
          <w:szCs w:val="28"/>
          <w:lang w:eastAsia="ru-RU"/>
        </w:rPr>
        <w:lastRenderedPageBreak/>
        <w:t xml:space="preserve">о </w:t>
      </w:r>
      <w:r>
        <w:rPr>
          <w:rFonts w:eastAsia="Times New Roman"/>
          <w:i/>
          <w:sz w:val="28"/>
          <w:szCs w:val="28"/>
          <w:lang w:eastAsia="ru-RU"/>
        </w:rPr>
        <w:t>снижении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имущества организации в целом.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Прослеживается отрицательная динамика показателей рентабельности основных средств, оборотных средств организации, совокупных ресурсов, рентабельности расходов на оплату труда и экономической рентабельности. Основной причиной указанной динамики является ухудшение финансового результата от реализации оказываемых организацией услуг.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>Рентабельность собственного капитала</w:t>
      </w:r>
      <w:r>
        <w:rPr>
          <w:rFonts w:eastAsia="Times New Roman"/>
          <w:i/>
          <w:sz w:val="28"/>
          <w:szCs w:val="28"/>
          <w:lang w:eastAsia="ru-RU"/>
        </w:rPr>
        <w:t xml:space="preserve"> в 2018 г. составила 26,2 %, что на 21,3 п. п. ниже аналогичного показателя за 2017 г.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Рентабельность заемного капитала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свидетельствует о том, что </w:t>
      </w:r>
      <w:r>
        <w:rPr>
          <w:rFonts w:eastAsia="Times New Roman"/>
          <w:i/>
          <w:sz w:val="28"/>
          <w:szCs w:val="28"/>
          <w:lang w:eastAsia="ru-RU"/>
        </w:rPr>
        <w:t>в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2018 г. на каждые 100 руб. заемного капитала приходится </w:t>
      </w:r>
      <w:r>
        <w:rPr>
          <w:rFonts w:eastAsia="Times New Roman"/>
          <w:i/>
          <w:sz w:val="28"/>
          <w:szCs w:val="28"/>
          <w:lang w:eastAsia="ru-RU"/>
        </w:rPr>
        <w:t>72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</w:t>
      </w:r>
      <w:r>
        <w:rPr>
          <w:rFonts w:eastAsia="Times New Roman"/>
          <w:i/>
          <w:sz w:val="28"/>
          <w:szCs w:val="28"/>
          <w:lang w:eastAsia="ru-RU"/>
        </w:rPr>
        <w:t>. чистой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8032F6">
        <w:rPr>
          <w:rFonts w:eastAsia="Times New Roman"/>
          <w:sz w:val="28"/>
          <w:szCs w:val="28"/>
          <w:highlight w:val="green"/>
        </w:rPr>
        <w:t>доходном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продаж</w:t>
      </w:r>
      <w:proofErr w:type="gramEnd"/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 за 2018 г</w:t>
      </w:r>
      <w:r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8,9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 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выручки приходится 0,</w:t>
      </w:r>
      <w:r>
        <w:rPr>
          <w:rFonts w:eastAsia="Times New Roman"/>
          <w:i/>
          <w:iCs/>
          <w:sz w:val="28"/>
          <w:szCs w:val="28"/>
          <w:lang w:eastAsia="ru-RU"/>
        </w:rPr>
        <w:t>089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услуг. В динамике данный показатель сократился </w:t>
      </w:r>
      <w:r>
        <w:rPr>
          <w:rFonts w:eastAsia="Times New Roman"/>
          <w:i/>
          <w:iCs/>
          <w:sz w:val="28"/>
          <w:szCs w:val="28"/>
          <w:lang w:eastAsia="ru-RU"/>
        </w:rPr>
        <w:t>на 5,1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рентабельность, базирующаяся на доходном подходе,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386008" w:rsidRDefault="00DA4D24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386008" w:rsidRPr="00D065DF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386008" w:rsidRP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сширение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bookmarkStart w:id="0" w:name="_GoBack"/>
      <w:bookmarkEnd w:id="0"/>
      <w:proofErr w:type="gramEnd"/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827C1"/>
    <w:rsid w:val="001554B4"/>
    <w:rsid w:val="00271BF9"/>
    <w:rsid w:val="002E77BD"/>
    <w:rsid w:val="00386008"/>
    <w:rsid w:val="004D4C86"/>
    <w:rsid w:val="005441C1"/>
    <w:rsid w:val="00581E99"/>
    <w:rsid w:val="005F7CA2"/>
    <w:rsid w:val="006A737A"/>
    <w:rsid w:val="00760AC0"/>
    <w:rsid w:val="008032F6"/>
    <w:rsid w:val="008B5AB8"/>
    <w:rsid w:val="008E51AF"/>
    <w:rsid w:val="00A259DC"/>
    <w:rsid w:val="00AE43AC"/>
    <w:rsid w:val="00B23EA3"/>
    <w:rsid w:val="00B502F6"/>
    <w:rsid w:val="00B66FB0"/>
    <w:rsid w:val="00BE3934"/>
    <w:rsid w:val="00C669C8"/>
    <w:rsid w:val="00CC1C44"/>
    <w:rsid w:val="00D065DF"/>
    <w:rsid w:val="00D64912"/>
    <w:rsid w:val="00DA4D24"/>
    <w:rsid w:val="00E43E1C"/>
    <w:rsid w:val="00EA5F50"/>
    <w:rsid w:val="00F23424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2E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64DD36A2-D324-448C-A9FC-474F877C4F0B}" type="presOf" srcId="{F3D762B0-9616-4D34-B2DE-52583C2ED498}" destId="{D2FFD10A-D92B-403F-B927-5A94CA626061}" srcOrd="0" destOrd="0" presId="urn:microsoft.com/office/officeart/2008/layout/HorizontalMultiLevelHierarchy"/>
    <dgm:cxn modelId="{F1723482-B773-4A6E-94AA-F9127AC25B50}" type="presOf" srcId="{C0C89D7D-96EB-4BF3-8517-08366410375D}" destId="{64ABAF48-F821-4777-9A60-F09DBAF1D643}" srcOrd="0" destOrd="0" presId="urn:microsoft.com/office/officeart/2008/layout/HorizontalMultiLevelHierarchy"/>
    <dgm:cxn modelId="{7E24CECA-09ED-4E2C-B049-986A9CBBC19D}" type="presOf" srcId="{F5737074-E3CD-4347-B364-EBD42A7C5D0F}" destId="{539EEFC6-1C49-4349-822B-899462479637}" srcOrd="1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0E6EC109-1956-4274-99E3-22D10F137C03}" type="presOf" srcId="{B2717EC9-7823-48B8-A130-D52DD2527F27}" destId="{08960B85-87ED-48B6-88F5-B5C817057C30}" srcOrd="0" destOrd="0" presId="urn:microsoft.com/office/officeart/2008/layout/HorizontalMultiLevelHierarchy"/>
    <dgm:cxn modelId="{03FE7D12-5237-4263-A8C2-42BB4F1FE247}" type="presOf" srcId="{F3D762B0-9616-4D34-B2DE-52583C2ED498}" destId="{05CFF33A-0051-41B6-83A7-AF8FF95D4A87}" srcOrd="1" destOrd="0" presId="urn:microsoft.com/office/officeart/2008/layout/HorizontalMultiLevelHierarchy"/>
    <dgm:cxn modelId="{B23104A2-1668-47DD-9C02-60C617447FA6}" type="presOf" srcId="{3C70F188-2264-46B3-8302-CAA4BDF4753F}" destId="{6EA6D940-23E1-48C0-8261-2A8DEBB58DCA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D2E00C42-BA59-4923-BE54-94FBAE05BEF5}" type="presOf" srcId="{FD1F08BF-713A-48D8-A4F9-C1F30ED1AA20}" destId="{1EC23980-C375-4C0B-9E67-35FCF6803BEB}" srcOrd="0" destOrd="0" presId="urn:microsoft.com/office/officeart/2008/layout/HorizontalMultiLevelHierarchy"/>
    <dgm:cxn modelId="{990EE1F0-DB2C-4E95-9CD0-F086B0A44206}" type="presOf" srcId="{59807051-5366-4A3D-8FC6-BAFC9339CCC2}" destId="{C9542E49-8AA5-43C0-8653-69E9B281785E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36303CDC-DEF0-42BD-B13B-D20E22BD0654}" type="presOf" srcId="{172F1BB0-7C1D-4156-84FB-BF54600AB6F4}" destId="{A7D8FE9D-12E5-43D5-B53D-21CA6743484D}" srcOrd="0" destOrd="0" presId="urn:microsoft.com/office/officeart/2008/layout/HorizontalMultiLevelHierarchy"/>
    <dgm:cxn modelId="{4CADED77-38C2-422C-BDD6-FEA98046317C}" type="presOf" srcId="{172F1BB0-7C1D-4156-84FB-BF54600AB6F4}" destId="{E877708C-D880-42F4-98FA-B308F0D72F61}" srcOrd="1" destOrd="0" presId="urn:microsoft.com/office/officeart/2008/layout/HorizontalMultiLevelHierarchy"/>
    <dgm:cxn modelId="{80143E75-DF51-465B-B3C0-4B57571479E3}" type="presOf" srcId="{419F95E7-BC8F-4765-8F6A-8A6C0F3DDE8A}" destId="{09634E8B-A990-455B-878C-90DAB1E97FAA}" srcOrd="0" destOrd="0" presId="urn:microsoft.com/office/officeart/2008/layout/HorizontalMultiLevelHierarchy"/>
    <dgm:cxn modelId="{A9B2D477-D0A7-4CD0-9F4D-1338FD8C072A}" type="presOf" srcId="{6FE09698-E3CF-4BEA-A196-F7471E9177F1}" destId="{33393049-140C-4DE7-9FDC-48D3187C005F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E52CF947-98F2-425A-9518-3B8DFB93FC1D}" type="presOf" srcId="{F5737074-E3CD-4347-B364-EBD42A7C5D0F}" destId="{8FC6EA7C-3FA9-45BD-8E22-4BDA776FD22B}" srcOrd="0" destOrd="0" presId="urn:microsoft.com/office/officeart/2008/layout/HorizontalMultiLevelHierarchy"/>
    <dgm:cxn modelId="{24616AD9-32B2-4D4C-9FED-D62CD263DC9C}" type="presOf" srcId="{3C70F188-2264-46B3-8302-CAA4BDF4753F}" destId="{24B88061-83BA-412C-9CC3-904F54D7415B}" srcOrd="0" destOrd="0" presId="urn:microsoft.com/office/officeart/2008/layout/HorizontalMultiLevelHierarchy"/>
    <dgm:cxn modelId="{635759EC-FC15-4BA5-B016-4ED938473C13}" type="presOf" srcId="{419F95E7-BC8F-4765-8F6A-8A6C0F3DDE8A}" destId="{5BB1B9C5-647B-4F43-B956-A8EF89DD901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7B151894-B7DF-4759-9EAF-2CC2E9E90E04}" type="presOf" srcId="{FD8EC714-B89C-4BFB-A29A-7743B58AA181}" destId="{00C925E6-E36B-4453-BF7A-95244A8015D5}" srcOrd="0" destOrd="0" presId="urn:microsoft.com/office/officeart/2008/layout/HorizontalMultiLevelHierarchy"/>
    <dgm:cxn modelId="{80470DB5-C8B4-47F5-886B-EC3A93798AA8}" type="presOf" srcId="{BB75FC8A-714C-41FB-BBB5-EA84A1132513}" destId="{38A4E1A9-44E7-490D-8F08-D839D064A59A}" srcOrd="0" destOrd="0" presId="urn:microsoft.com/office/officeart/2008/layout/HorizontalMultiLevelHierarchy"/>
    <dgm:cxn modelId="{DB85BAE8-9D75-4B9B-A717-E6844839493E}" type="presParOf" srcId="{33393049-140C-4DE7-9FDC-48D3187C005F}" destId="{2082F161-0726-4358-B70B-FB9C00645E59}" srcOrd="0" destOrd="0" presId="urn:microsoft.com/office/officeart/2008/layout/HorizontalMultiLevelHierarchy"/>
    <dgm:cxn modelId="{6396090B-2B24-41B9-8C85-ED4BE69AD602}" type="presParOf" srcId="{2082F161-0726-4358-B70B-FB9C00645E59}" destId="{1EC23980-C375-4C0B-9E67-35FCF6803BEB}" srcOrd="0" destOrd="0" presId="urn:microsoft.com/office/officeart/2008/layout/HorizontalMultiLevelHierarchy"/>
    <dgm:cxn modelId="{6A60FE2A-A97C-4B39-9C45-4B1AE012AF4F}" type="presParOf" srcId="{2082F161-0726-4358-B70B-FB9C00645E59}" destId="{4AF2BC9F-1C02-48BA-9EDD-8134ACBE39BA}" srcOrd="1" destOrd="0" presId="urn:microsoft.com/office/officeart/2008/layout/HorizontalMultiLevelHierarchy"/>
    <dgm:cxn modelId="{B99CBFD2-F936-430C-B9E8-4CDFB15958E8}" type="presParOf" srcId="{4AF2BC9F-1C02-48BA-9EDD-8134ACBE39BA}" destId="{A7D8FE9D-12E5-43D5-B53D-21CA6743484D}" srcOrd="0" destOrd="0" presId="urn:microsoft.com/office/officeart/2008/layout/HorizontalMultiLevelHierarchy"/>
    <dgm:cxn modelId="{87B9EBDD-C52D-45A3-AA8A-B718B50A28A8}" type="presParOf" srcId="{A7D8FE9D-12E5-43D5-B53D-21CA6743484D}" destId="{E877708C-D880-42F4-98FA-B308F0D72F61}" srcOrd="0" destOrd="0" presId="urn:microsoft.com/office/officeart/2008/layout/HorizontalMultiLevelHierarchy"/>
    <dgm:cxn modelId="{56348BE1-1698-4A29-8F5E-0527BEA80288}" type="presParOf" srcId="{4AF2BC9F-1C02-48BA-9EDD-8134ACBE39BA}" destId="{7862D74A-B45D-4A02-A590-A300908EA22B}" srcOrd="1" destOrd="0" presId="urn:microsoft.com/office/officeart/2008/layout/HorizontalMultiLevelHierarchy"/>
    <dgm:cxn modelId="{948EE48A-5DBF-4BD4-9E3A-9A8C611BA067}" type="presParOf" srcId="{7862D74A-B45D-4A02-A590-A300908EA22B}" destId="{08960B85-87ED-48B6-88F5-B5C817057C30}" srcOrd="0" destOrd="0" presId="urn:microsoft.com/office/officeart/2008/layout/HorizontalMultiLevelHierarchy"/>
    <dgm:cxn modelId="{5E7D5668-39DF-495D-A150-643803FED0F0}" type="presParOf" srcId="{7862D74A-B45D-4A02-A590-A300908EA22B}" destId="{E9390571-0635-4C39-976C-1DBFA5D46068}" srcOrd="1" destOrd="0" presId="urn:microsoft.com/office/officeart/2008/layout/HorizontalMultiLevelHierarchy"/>
    <dgm:cxn modelId="{EE5E28D5-5648-4F6F-B610-CFE05766C46D}" type="presParOf" srcId="{E9390571-0635-4C39-976C-1DBFA5D46068}" destId="{8FC6EA7C-3FA9-45BD-8E22-4BDA776FD22B}" srcOrd="0" destOrd="0" presId="urn:microsoft.com/office/officeart/2008/layout/HorizontalMultiLevelHierarchy"/>
    <dgm:cxn modelId="{05D231C7-95E2-475E-AECA-D21F8C143836}" type="presParOf" srcId="{8FC6EA7C-3FA9-45BD-8E22-4BDA776FD22B}" destId="{539EEFC6-1C49-4349-822B-899462479637}" srcOrd="0" destOrd="0" presId="urn:microsoft.com/office/officeart/2008/layout/HorizontalMultiLevelHierarchy"/>
    <dgm:cxn modelId="{03E95BDF-9A10-4127-8977-68F0323574B2}" type="presParOf" srcId="{E9390571-0635-4C39-976C-1DBFA5D46068}" destId="{0E6B8071-94D8-421F-8344-011388414B55}" srcOrd="1" destOrd="0" presId="urn:microsoft.com/office/officeart/2008/layout/HorizontalMultiLevelHierarchy"/>
    <dgm:cxn modelId="{748044F2-9758-45DC-9005-86A54FD01D94}" type="presParOf" srcId="{0E6B8071-94D8-421F-8344-011388414B55}" destId="{00C925E6-E36B-4453-BF7A-95244A8015D5}" srcOrd="0" destOrd="0" presId="urn:microsoft.com/office/officeart/2008/layout/HorizontalMultiLevelHierarchy"/>
    <dgm:cxn modelId="{9D3AA971-679C-47BB-A0B9-C9CD0F5EFD7E}" type="presParOf" srcId="{0E6B8071-94D8-421F-8344-011388414B55}" destId="{D4C6C706-A379-40DF-9314-1178F0F65075}" srcOrd="1" destOrd="0" presId="urn:microsoft.com/office/officeart/2008/layout/HorizontalMultiLevelHierarchy"/>
    <dgm:cxn modelId="{5F357A2B-A54C-413F-8DBA-E17CBF0AAD52}" type="presParOf" srcId="{E9390571-0635-4C39-976C-1DBFA5D46068}" destId="{24B88061-83BA-412C-9CC3-904F54D7415B}" srcOrd="2" destOrd="0" presId="urn:microsoft.com/office/officeart/2008/layout/HorizontalMultiLevelHierarchy"/>
    <dgm:cxn modelId="{601A3313-C33C-4179-82AE-FA4E3104E41D}" type="presParOf" srcId="{24B88061-83BA-412C-9CC3-904F54D7415B}" destId="{6EA6D940-23E1-48C0-8261-2A8DEBB58DCA}" srcOrd="0" destOrd="0" presId="urn:microsoft.com/office/officeart/2008/layout/HorizontalMultiLevelHierarchy"/>
    <dgm:cxn modelId="{0E473353-1427-45D4-87B4-CF67C2DA7466}" type="presParOf" srcId="{E9390571-0635-4C39-976C-1DBFA5D46068}" destId="{AC7D3CB4-6324-439E-AA3F-76AF67B24070}" srcOrd="3" destOrd="0" presId="urn:microsoft.com/office/officeart/2008/layout/HorizontalMultiLevelHierarchy"/>
    <dgm:cxn modelId="{4D3DB685-30F4-4323-86CA-862FA89479F8}" type="presParOf" srcId="{AC7D3CB4-6324-439E-AA3F-76AF67B24070}" destId="{C9542E49-8AA5-43C0-8653-69E9B281785E}" srcOrd="0" destOrd="0" presId="urn:microsoft.com/office/officeart/2008/layout/HorizontalMultiLevelHierarchy"/>
    <dgm:cxn modelId="{714F862C-B492-4D5F-8B9D-33E2BF6247E8}" type="presParOf" srcId="{AC7D3CB4-6324-439E-AA3F-76AF67B24070}" destId="{5BF4FE95-5F2F-45F9-A147-AFCEEE85971D}" srcOrd="1" destOrd="0" presId="urn:microsoft.com/office/officeart/2008/layout/HorizontalMultiLevelHierarchy"/>
    <dgm:cxn modelId="{06D6A7FF-42B5-40B8-A448-4F74EE31998D}" type="presParOf" srcId="{4AF2BC9F-1C02-48BA-9EDD-8134ACBE39BA}" destId="{09634E8B-A990-455B-878C-90DAB1E97FAA}" srcOrd="2" destOrd="0" presId="urn:microsoft.com/office/officeart/2008/layout/HorizontalMultiLevelHierarchy"/>
    <dgm:cxn modelId="{B5BFDF21-5A6C-4832-BA47-0CC9E22DDEA8}" type="presParOf" srcId="{09634E8B-A990-455B-878C-90DAB1E97FAA}" destId="{5BB1B9C5-647B-4F43-B956-A8EF89DD9017}" srcOrd="0" destOrd="0" presId="urn:microsoft.com/office/officeart/2008/layout/HorizontalMultiLevelHierarchy"/>
    <dgm:cxn modelId="{789ED7E1-8A72-40C8-AAB5-676FDA95FCE6}" type="presParOf" srcId="{4AF2BC9F-1C02-48BA-9EDD-8134ACBE39BA}" destId="{B1D89E5D-C9C7-4DD7-916F-42C4E146CE42}" srcOrd="3" destOrd="0" presId="urn:microsoft.com/office/officeart/2008/layout/HorizontalMultiLevelHierarchy"/>
    <dgm:cxn modelId="{B6A4E8C6-0EDA-4B19-BC9D-891F14A10BFC}" type="presParOf" srcId="{B1D89E5D-C9C7-4DD7-916F-42C4E146CE42}" destId="{64ABAF48-F821-4777-9A60-F09DBAF1D643}" srcOrd="0" destOrd="0" presId="urn:microsoft.com/office/officeart/2008/layout/HorizontalMultiLevelHierarchy"/>
    <dgm:cxn modelId="{DEDF09A3-63B6-41F5-AB15-91EDAE1B8762}" type="presParOf" srcId="{B1D89E5D-C9C7-4DD7-916F-42C4E146CE42}" destId="{4D38FE38-68E8-4715-9417-8BA49222E53A}" srcOrd="1" destOrd="0" presId="urn:microsoft.com/office/officeart/2008/layout/HorizontalMultiLevelHierarchy"/>
    <dgm:cxn modelId="{7A68C073-1293-4B3D-96C7-C51141EACF18}" type="presParOf" srcId="{4D38FE38-68E8-4715-9417-8BA49222E53A}" destId="{D2FFD10A-D92B-403F-B927-5A94CA626061}" srcOrd="0" destOrd="0" presId="urn:microsoft.com/office/officeart/2008/layout/HorizontalMultiLevelHierarchy"/>
    <dgm:cxn modelId="{044E74BC-6C0D-4D22-85A1-49800A72D125}" type="presParOf" srcId="{D2FFD10A-D92B-403F-B927-5A94CA626061}" destId="{05CFF33A-0051-41B6-83A7-AF8FF95D4A87}" srcOrd="0" destOrd="0" presId="urn:microsoft.com/office/officeart/2008/layout/HorizontalMultiLevelHierarchy"/>
    <dgm:cxn modelId="{9F087505-8092-4EBF-840E-6FE029927C0C}" type="presParOf" srcId="{4D38FE38-68E8-4715-9417-8BA49222E53A}" destId="{FD39EE37-C069-4CA9-A181-FBE434EC387C}" srcOrd="1" destOrd="0" presId="urn:microsoft.com/office/officeart/2008/layout/HorizontalMultiLevelHierarchy"/>
    <dgm:cxn modelId="{DFA2D2A3-124E-4D08-B105-B153E4CFC909}" type="presParOf" srcId="{FD39EE37-C069-4CA9-A181-FBE434EC387C}" destId="{38A4E1A9-44E7-490D-8F08-D839D064A59A}" srcOrd="0" destOrd="0" presId="urn:microsoft.com/office/officeart/2008/layout/HorizontalMultiLevelHierarchy"/>
    <dgm:cxn modelId="{C31DEA3F-3F94-4BCD-A0AF-7AE865B0F4FE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2211</Words>
  <Characters>12606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5</cp:revision>
  <dcterms:created xsi:type="dcterms:W3CDTF">2019-06-12T14:45:00Z</dcterms:created>
  <dcterms:modified xsi:type="dcterms:W3CDTF">2019-06-14T08:08:00Z</dcterms:modified>
</cp:coreProperties>
</file>