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Architectural Optimization for STEM Solution Pipelines: Transitioning from Frontier Models to Fine-Tuned Domain Experts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integration of massive large language models into educational technology pipelines has historically necessitated reliance on flagship, multi-modal architectures to guarantee high-fidelity reasoning. This has been particularly true for complex, multi-step derivations inherent in the 11th and 12th-grade National Council of Educational Research and Training (NCERT) and Joint Entrance Examination (JEE) curricula encompassing Mathematics, Physics, and Chemistry. However, running a production pipeline that depends on synchronous calls to generalized frontier models introduces prohibitive scaling challenges. The mandate to isolate the solution-generation step—decoupling it entirely from pedagogical formatting and Socratic nudging—presents a unique architectural opportunity. By narrowing the scope strictly to scientific derivation, organizations can replace a costly generalized model with highly optimized, smaller-parameter models without degrading solution quality.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report provides an exhaustive, multi-dimensional analysis of the transition pathways available for replacing a high-cost frontier model pipeline. The analysis rigorously evaluates the economic viability and technical feasibility of migrating to lower-tier proprietary APIs—including the Gemini Flash series, OpenAI’s GPT-4o-mini, and Anthropic’s Claude suite—while assessing their native fine-tuning capabilities. Furthermore, it explores the paradigm of open-source knowledge distillation, analyzing the deployment of models like Qwen 2.5 Math, DeepSeek-R1 distillates, and Gemma 4. The investigation directly addresses the strategic efficacy of splitting inference traffic across subject-specific endpoints and details the infrastructural economics of deploying these optimized assets on serverless cloud environments like Azure AI Foundry.</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Economic Baseline and the Burden of Generalized Architectures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current solution generation pipeline relies on Google's Gemini 3.1 Pro. While highly capable across multi-domain tasks and maintaining leading positions in academic benchmarks, its deployment economics present substantial barriers to massive-scale, synchronous operations. Gemini 3.1 Pro operates on a high-tier pricing structure engineered for generalized enterprise workloads.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standard, real-time synchronous requests with context windows under 200,000 tokens, the inference cost is structured at $2.00 per million input tokens and $12.00 per million output tokens.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To quantify the impact of this pricing structure, one must model a standard batch execution. Processing a relatively small dataset of 899 educational problems—assuming a conservative average of 3,500 input tokens and 100 output tokens per problem—yields an aggregate of approximately 3.15 million input tokens and 90,000 output tokens.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Under the standard pay-as-you-go synchronous tier, the execution cost for this restricted batch totals approximately $7.37.</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Google does provide a Batch API designed for asynchronous, non-time-sensitive workloads, which applies a flat 50% discount to the token rates.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Utilizing the Batch API reduces the rates to $1.00 per million input tokens and $6.00 per million output tokens, bringing the execution cost of the aforementioned batch down to $3.69.</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However, this batch processing introduces a turnaround latency that can span up to 24 hours, making it structurally incompatible with a student-facing application that requires real-time, synchronous solution generation.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fundamental inefficiency of utilizing Gemini 3.1 Pro for this specific pipeline lies in its parameter bloat. The model is trained to process vast multimodal inputs, generate creative prose, and translate multiple languages. When the scope is strictly limited to generating razor-sharp mathematical and scientific solutions, paying the premium for a generalized architecture results in vast computational waste.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Evaluating Proprietary Pay-As-You-Go Alternatives and Fine-Tuning Feasibility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immediate, theoretically frictionless alternative to deploying custom infrastructure is migrating to lower-tier, cost-optimized proprietary models that function on a pay-as-you-go basis. This includes the Gemini Flash family, the GPT-4o-mini architecture, and the Claude model suite. A critical component of this migration is the ability to fine-tune these models on existing JEE/NCERT datasets to preserve the pedagogical quality established by the Gemini 3.1 Pro baseline.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Gemini Flash Ecosystem: Fine-Tuning Constraints and Pay-As-You-Go Viability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Gemini 3 and 2.5 series include highly accelerated, cost-reduced variants designed for high-throughput applications: Gemini 3 Flash, Gemini 3.5 Flash, and Gemini 3.1 Flash-Lite.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standard pay-as-you-go pricing for Gemini 3 Flash is aggressively positioned at $1.50 per million input tokens and $9.00 per million output tokens </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with earlier versions hitting as low as $0.50 input and $3.00 output.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if the explicit goal is to fine-tune Gemini 3 Flash or the latest Gemini 3.5 Flash, the ecosystem presents a major roadblock: </w:t>
      </w:r>
      <w:r w:rsidDel="00000000" w:rsidR="00000000" w:rsidRPr="00000000">
        <w:rPr>
          <w:rFonts w:ascii="Arial" w:cs="Arial" w:eastAsia="Arial" w:hAnsi="Arial"/>
          <w:b w:val="1"/>
          <w:bCs w:val="1"/>
          <w:color w:val="1f1f1f"/>
          <w:rtl w:val="0"/>
        </w:rPr>
        <w:t xml:space="preserve">Currently, Google does not support supervised fine-tuning for the Gemini 3.x Flash series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Google officially deprecated native supervised fine-tuning within standard developer interfaces (like Google AI Studio), completely phasing out tuning support for earlier models like Gemini 1.5 Flash-001 by May 2025.</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engage in supervised fine-tuning today, organizations are forced to migrate their infrastructure to the Gemini Enterprise Agent Platform (formerly known as Vertex AI).</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Yet, even within this Enterprise tier, the officially supported models for supervised fine-tuning are restricted to the legacy 2.5 series: Gemini 2.5 Pro, Gemini 2.5 Flash, and Gemini 2.5 Flash-Lite.</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If you choose to fall back to </w:t>
      </w:r>
      <w:r w:rsidDel="00000000" w:rsidR="00000000" w:rsidRPr="00000000">
        <w:rPr>
          <w:rFonts w:ascii="Arial" w:cs="Arial" w:eastAsia="Arial" w:hAnsi="Arial"/>
          <w:b w:val="1"/>
          <w:bCs w:val="1"/>
          <w:color w:val="1f1f1f"/>
          <w:rtl w:val="0"/>
        </w:rPr>
        <w:t xml:space="preserve">Gemini 2.5 Flash</w:t>
      </w:r>
      <w:r w:rsidDel="00000000" w:rsidR="00000000" w:rsidRPr="00000000">
        <w:rPr>
          <w:rFonts w:ascii="Arial" w:cs="Arial" w:eastAsia="Arial" w:hAnsi="Arial"/>
          <w:color w:val="1f1f1f"/>
          <w:rtl w:val="0"/>
        </w:rPr>
        <w:t xml:space="preserve"> to leverage fine-tuning on the Enterprise Agent Platform, </w:t>
      </w:r>
      <w:r w:rsidDel="00000000" w:rsidR="00000000" w:rsidRPr="00000000">
        <w:rPr>
          <w:rFonts w:ascii="Arial" w:cs="Arial" w:eastAsia="Arial" w:hAnsi="Arial"/>
          <w:b w:val="1"/>
          <w:bCs w:val="1"/>
          <w:color w:val="1f1f1f"/>
          <w:rtl w:val="0"/>
        </w:rPr>
        <w:t xml:space="preserve">it does still allow a pay-as-you-go inference model</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Once the tuning job is complete, Google does not charge a premium for inference; the fine-tuned Gemini 2.5 Flash endpoint maintains the exact same prediction price as the base model, which is $0.30 per million input tokens and $2.50 per million output tokens.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catch is the upfront training cost and ecosystem friction. The tuning process within this enterprise environment requires you to pay for the compute via a training token fee, calculated at $8.00 per million training tokens.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Therefore, while you can achieve cheap pay-as-you-go inference, you cannot do it on the latest 3.5 models, and you are entirely locked into the heavier, quota-restricted Enterprise Agent Platform to manage the 2.5 series.</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Economic Inversion of GPT-4o-Mini Fine-Tuning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OpenAI's GPT-4o-mini model initially appears to be an ideal candidate for replacing Gemini 3.1 Pro. The base pay-as-you-go rate for GPT-4o-mini is highly attractive, priced at $0.15 per million input tokens and $0.60 per million output tokens, representing an order of magnitude reduction compared to previous frontier models.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Furthermore, OpenAI natively supports fine-tuning for this architecture across all paid developer tiers, providing a dedicated dashboard and applying a standard training fee of $25.00 per million tokens.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a critical economic anomaly emerges upon the deployment of the fine-tuned artifact. OpenAI implements a distinct, drastically inflated pricing tier for inference executed against custom fine-tuned models. While the base model outputs cost $0.60 per million tokens, inference on a fine-tuned GPT-4o-mini endpoint escalates to $3.75 per million input tokens and $15.00 per million output tokens.</w:t>
      </w:r>
      <w:r w:rsidDel="00000000" w:rsidR="00000000" w:rsidRPr="00000000">
        <w:rPr>
          <w:rFonts w:ascii="Arial" w:cs="Arial" w:eastAsia="Arial" w:hAnsi="Arial"/>
          <w:color w:val="444746"/>
          <w:sz w:val="24"/>
          <w:szCs w:val="24"/>
          <w:vertAlign w:val="superscript"/>
          <w:rtl w:val="0"/>
        </w:rPr>
        <w:t xml:space="preserve">8</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Architectural Tier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Input Price (Per 1M Tokens)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Output Price (Per 1M Tokens)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Gemini 3.1 Pro (Base)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GPT-4o-mini (Base)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$0.60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GPT-4o-mini (Fine-Tuned)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$15.00</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data reveals a systemic bottleneck: running a custom, fine-tuned GPT-4o-mini model is significantly more expensive on the output side ($15.00) than running the highly capable, generalized Gemini 3.1 Pro baseline ($12.00). Therefore, utilizing the OpenAI ecosystem for a highly specialized, fine-tuned solution generation pipeline is entirely counterproductive from a financial optimization standpoint. It defeats the primary objective of reducing the cost of the pipeline.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Structural Constraints Within the Claude Architecture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Anthropic's Claude suite presents parallel roadblocks. The model family includes advanced variants such as Claude Opus 4.7, Claude Sonnet 4.6, and the highly efficient Claude Haiku 4.5.</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Claude Opus 4.7 demonstrates exceptional capabilities in complex software engineering and professional reasoning tasks, handling long-running workflows with rigor and consistency.</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However, it is priced at a premium and lacks a direct path for supervised fine-tuning via Anthropic's native API for general users.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Fine-tuning is technically achievable for specific smaller models like Claude 3 Haiku, but this process is strictly isolated and geographically bound to the Amazon Bedrock environment.</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 inability to fine-tune outside of specific vendor-locked enterprise cloud integrations limits portability. Direct fine-tuning capabilities for the broader Claude model suite through Anthropic's native interfaces remain unavailable to general developers, rendering it an inflexible option for an agile, cost-optimized deployment.</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Knowledge Distillation Paradigm: Leveraging the Teacher-Student Dynamic</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Given the severe pricing inversions of fine-tuned OpenAI models and the platform constraints inherent in the Gemini Enterprise Agent Platform and Amazon Bedrock, the most scientifically robust and economically viable pathway is the adoption of an open-weight knowledge distillation framework. This strategy aligns perfectly with the availability of existing NCERT and JEE pipelines powered by Gemini 3.1 Pro, allowing the organization to utilize these high-fidelity outputs as a "Teacher" to bootstrap a smaller, highly efficient "Student" model.</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Synthesizing the Gold Dataset via Gemini 3.1 Pro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distillation process requires generating a massive, flawless "Gold Dataset" to transfer the reasoning capabilities of the frontier model into the smaller parameter space.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Gemini 3.1 Pro serves as an exceptional Teacher model for this task. It maintains leading positions in complex scientific benchmarks, achieving a 94.3% score on the GPQA Diamond benchmark—an assessment that measures PhD-level scientific knowledge—significantly outperforming competitors like Opus 4.6 (87.4%) and GPT 5.4 (83.9%).</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extract maximum pedagogical value for the fine-tuning corpus, the data synthesis phase must prompt Gemini 3.1 Pro using highly specific "Teacher Personas".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Rather than merely prompting the model to generate the final numerical answer, the Teacher must be directed to output exhaustive, step-by-step sequential deductions utilizing Chain-of-Thought (CoT) reasoning.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system prompts must mandate explicit theoretical justification for the selection of specific mathematical and chemical formulas. For example, the prompt structure should simulate an expert educator: </w:t>
      </w:r>
      <w:r w:rsidDel="00000000" w:rsidR="00000000" w:rsidRPr="00000000">
        <w:rPr>
          <w:rFonts w:ascii="Arial" w:cs="Arial" w:eastAsia="Arial" w:hAnsi="Arial"/>
          <w:i w:val="1"/>
          <w:iCs w:val="1"/>
          <w:color w:val="1f1f1f"/>
          <w:rtl w:val="0"/>
        </w:rPr>
        <w:t xml:space="preserve">"Solve this JEE Physics problem as a senior IIT-JEE coach, detailing the theoretical justification behind the selection of the Lorentz force equation before computing the cross product"</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By capturing the complete reasoning trace, the Student model learns the underlying deductive logic rather than just memorizing static question-answer pairs.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Crucial Role of the Multi-Judge Evaluator Pipeline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Synthesized data generated by Large Language Models inherently carries the risk of hallucination or arithmetic drift. To ensure the Student model is trained exclusively on flawless derivations, an automated Evaluator pipeline must be deployed to act as an unyielding quality gate before any output is appended to the fine-tuning corpus.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Evaluator loop utilizes Gemini 3.1 Pro (and potentially specialized math models) to verify the synthesized solutions against a strict grading rubric:</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Correctness:</w:t>
      </w:r>
      <w:r w:rsidDel="00000000" w:rsidR="00000000" w:rsidRPr="00000000">
        <w:rPr>
          <w:rFonts w:ascii="Arial" w:cs="Arial" w:eastAsia="Arial" w:hAnsi="Arial"/>
          <w:color w:val="1f1f1f"/>
          <w:rtl w:val="0"/>
        </w:rPr>
        <w:t xml:space="preserve"> Ensuring the derived final answer flawlessly matches the official NCERT or JEE answer key.</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Pedagogy:</w:t>
      </w:r>
      <w:r w:rsidDel="00000000" w:rsidR="00000000" w:rsidRPr="00000000">
        <w:rPr>
          <w:rFonts w:ascii="Arial" w:cs="Arial" w:eastAsia="Arial" w:hAnsi="Arial"/>
          <w:color w:val="1f1f1f"/>
          <w:rtl w:val="0"/>
        </w:rPr>
        <w:t xml:space="preserve"> Evaluating the step-by-step sequential logic, deductive flow, and instructional clarity on a quantitative scale of 1 to 5.</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Conciseness:</w:t>
      </w:r>
      <w:r w:rsidDel="00000000" w:rsidR="00000000" w:rsidRPr="00000000">
        <w:rPr>
          <w:rFonts w:ascii="Arial" w:cs="Arial" w:eastAsia="Arial" w:hAnsi="Arial"/>
          <w:color w:val="1f1f1f"/>
          <w:rtl w:val="0"/>
        </w:rPr>
        <w:t xml:space="preserve"> Verifying the absence of conversational verbosity and enforcing strict adherence to structural mathematical derivations.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high-stakes mathematical problems, which are standard in the JEE Advanced curriculum, a Multi-Judge Consensus framework is recommended.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architecture involves pairing Gemini 3.1 Pro with an independent mathematical specialist model (such as a large parameter Qwen or DeepSeek variant). Both models independently evaluate the generated solution. Discrepancies between the two independent evaluators trigger immediate flags for manual human review, ensuring that no hallucinated mathematical logic contaminates the training data.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High-quality solutions that have already been handpicked by human evaluators from the existing pipelines should be integrated into the training dataset as high-weight anchors, guiding the Student model toward the optimal instruction style.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Subject-Specific Model Recommendations (Math, Physics, Chemistry)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General-purpose 7B or 8B open-weight models natively lack the structural syntax required for high-end JEE derivations. When splitting by subject, deploying highly targeted baseline models for fine-tuning guarantees the highest baseline capability.</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Mathematics: The Merged Architecture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mathematics (Algebra, Calculus, Coordinate Geometry), the optimal approach leverages linear parameter merging using frameworks like MergeKit.</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The recommended foundation combines three specific variants of the Qwen 2.5 architecture:</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Qwen2.5-Math-7B-Instruct:</w:t>
      </w:r>
      <w:r w:rsidDel="00000000" w:rsidR="00000000" w:rsidRPr="00000000">
        <w:rPr>
          <w:rFonts w:ascii="Arial" w:cs="Arial" w:eastAsia="Arial" w:hAnsi="Arial"/>
          <w:color w:val="1f1f1f"/>
          <w:rtl w:val="0"/>
        </w:rPr>
        <w:t xml:space="preserve"> Provides fundamental mathematical fluency and formatting stability.</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AceMath-7B-Instruct:</w:t>
      </w:r>
      <w:r w:rsidDel="00000000" w:rsidR="00000000" w:rsidRPr="00000000">
        <w:rPr>
          <w:rFonts w:ascii="Arial" w:cs="Arial" w:eastAsia="Arial" w:hAnsi="Arial"/>
          <w:color w:val="1f1f1f"/>
          <w:rtl w:val="0"/>
        </w:rPr>
        <w:t xml:space="preserve"> A variant explicitly fine-tuned by NVIDIA that significantly enhances accuracy on complex quantitative benchmarks.</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DeepSeek-R1-Distill-Qwen-7B:</w:t>
      </w:r>
      <w:r w:rsidDel="00000000" w:rsidR="00000000" w:rsidRPr="00000000">
        <w:rPr>
          <w:rFonts w:ascii="Arial" w:cs="Arial" w:eastAsia="Arial" w:hAnsi="Arial"/>
          <w:color w:val="1f1f1f"/>
          <w:rtl w:val="0"/>
        </w:rPr>
        <w:t xml:space="preserve"> Provides Reinforcement Learning (RL)-driven traits like self-reflection, multi-step logical deduction, and error-correction.</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Merging these models (e.g., following the "Aryabhata" blueprint) balances quick, fluent NCERT solutions with the deliberate, self-correcting reasoning required for JEE Advanced Mathematics.</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Physics: DeepSeek-R1 Distillates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Physics problems blend heavy mathematical derivation with theoretical conceptual framing. The </w:t>
      </w:r>
      <w:r w:rsidDel="00000000" w:rsidR="00000000" w:rsidRPr="00000000">
        <w:rPr>
          <w:rFonts w:ascii="Arial" w:cs="Arial" w:eastAsia="Arial" w:hAnsi="Arial"/>
          <w:b w:val="1"/>
          <w:bCs w:val="1"/>
          <w:color w:val="1f1f1f"/>
          <w:rtl w:val="0"/>
        </w:rPr>
        <w:t xml:space="preserve">DeepSeek-R1-Distill-Qwen-32B</w:t>
      </w:r>
      <w:r w:rsidDel="00000000" w:rsidR="00000000" w:rsidRPr="00000000">
        <w:rPr>
          <w:rFonts w:ascii="Arial" w:cs="Arial" w:eastAsia="Arial" w:hAnsi="Arial"/>
          <w:color w:val="1f1f1f"/>
          <w:rtl w:val="0"/>
        </w:rPr>
        <w:t xml:space="preserve"> is the premier candidate for Physics.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DeepSeek's reliance on Group Relative Policy Optimization (GRPO) during training inherently cultivates "long-chain reasoning," allowing the model to smoothly transition between theoretical framing (e.g., establishing Conservation of Momentum) and the subsequent algebraic derivations.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It performs exceptionally well on the GPQA Diamond benchmark (master's level physics/chemistry) </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making it an ideal base to fine-tune on the Gemini 3.1 Pro Teacher dataset.</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Chemistry: RAG-Augmented Distillates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Chemistry presents distinct challenges—specifically Organic Chemistry mechanisms and stoichiometric balancing—where standard generative models frequently hallucinate or drop valency states.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For Chemistry, you should deploy a heavily constrained model, such as </w:t>
      </w:r>
      <w:r w:rsidDel="00000000" w:rsidR="00000000" w:rsidRPr="00000000">
        <w:rPr>
          <w:rFonts w:ascii="Arial" w:cs="Arial" w:eastAsia="Arial" w:hAnsi="Arial"/>
          <w:b w:val="1"/>
          <w:bCs w:val="1"/>
          <w:color w:val="1f1f1f"/>
          <w:rtl w:val="0"/>
        </w:rPr>
        <w:t xml:space="preserve">DeepSeek-R1-Distill-Llama-8B</w:t>
      </w:r>
      <w:r w:rsidDel="00000000" w:rsidR="00000000" w:rsidRPr="00000000">
        <w:rPr>
          <w:rFonts w:ascii="Arial" w:cs="Arial" w:eastAsia="Arial" w:hAnsi="Arial"/>
          <w:color w:val="1f1f1f"/>
          <w:rtl w:val="0"/>
        </w:rPr>
        <w:t xml:space="preserve"> or a Qwen equivalent, but it </w:t>
      </w:r>
      <w:r w:rsidDel="00000000" w:rsidR="00000000" w:rsidRPr="00000000">
        <w:rPr>
          <w:rFonts w:ascii="Arial" w:cs="Arial" w:eastAsia="Arial" w:hAnsi="Arial"/>
          <w:b w:val="1"/>
          <w:bCs w:val="1"/>
          <w:color w:val="1f1f1f"/>
          <w:rtl w:val="0"/>
        </w:rPr>
        <w:t xml:space="preserve">must</w:t>
      </w:r>
      <w:r w:rsidDel="00000000" w:rsidR="00000000" w:rsidRPr="00000000">
        <w:rPr>
          <w:rFonts w:ascii="Arial" w:cs="Arial" w:eastAsia="Arial" w:hAnsi="Arial"/>
          <w:color w:val="1f1f1f"/>
          <w:rtl w:val="0"/>
        </w:rPr>
        <w:t xml:space="preserve"> be tightly coupled with a structured Retrieval-Augmented Generation (RAG) loop.</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DeepSeek's rule-based RL training makes it highly adept at following auto-verifiable constraints, which directly translates to properly balancing chemical equations if grounded properly.</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Architectural Strategy: The Efficacy of Subject-Specific Splitting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original query hypothesized that splitting models by subject could be beneficial. Architectural science heavily validates this intuition. A recurring failure mode in modern AI deployment is the over-reliance on monolithic, multi-task generalists, which inevitably suffer from cognitive interference and performance saturation when processing highly disparate subjects like Calculus and Organic Chemistry.</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Validating the S-DAG (Subject-Specific) Approach</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Research on complex, reasoning-intensive evaluations—such as the MMLU-Pro benchmark—demonstrates that multi-task models suffer severe performance degradation due to linguistic differences in subject-specific terminology and instructional context.</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solve this, leading frameworks employ a </w:t>
      </w:r>
      <w:r w:rsidDel="00000000" w:rsidR="00000000" w:rsidRPr="00000000">
        <w:rPr>
          <w:rFonts w:ascii="Arial" w:cs="Arial" w:eastAsia="Arial" w:hAnsi="Arial"/>
          <w:b w:val="1"/>
          <w:bCs w:val="1"/>
          <w:color w:val="1f1f1f"/>
          <w:rtl w:val="0"/>
        </w:rPr>
        <w:t xml:space="preserve">Subject-based Directed Acyclic Graph (S-DAG)</w:t>
      </w:r>
      <w:r w:rsidDel="00000000" w:rsidR="00000000" w:rsidRPr="00000000">
        <w:rPr>
          <w:rFonts w:ascii="Arial" w:cs="Arial" w:eastAsia="Arial" w:hAnsi="Arial"/>
          <w:color w:val="1f1f1f"/>
          <w:rtl w:val="0"/>
        </w:rPr>
        <w:t xml:space="preserve"> architecture.</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In this framework:</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lightweight, highly economical classification router ingests the student's problem and identifies the requisite domain (e.g., Physics).</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router directs the query exclusively to the Physics Specialist endpoint.</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Because the Physics neural weights are isolated from the Chemistry dataset, the model does not suffer from negative transfer. It is optimized entirely for real-world vector calculus and thermodynamics syntax.</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graph-structured, fine-grained multi-agent isolation outperforms single generalist models in both accuracy and operational efficiency.</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Engineering the Chemistry Specialist: A RAG and Database Imperative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separation of subjects is particularly critical for Chemistry, which presents unique challenges that standard mathematical LLMs fail to overcome. Empirical testing within similar JEE/NCERT application environments reveals recurring, catastrophic failures when generalist models attempt to parse complex chemical datasets. Evaluator models have completely failed to recognize chemical reactions—such as the complex oxidation reactions for Potassium Dichromate (</w:t>
      </w:r>
      <w:r w:rsidDel="00000000" w:rsidR="00000000" w:rsidRPr="00000000">
        <w:rPr>
          <w:rFonts w:ascii="Arial" w:cs="Arial" w:eastAsia="Arial" w:hAnsi="Arial"/>
          <w:color w:val="1f1f1f"/>
        </w:rPr>
        <w:drawing>
          <wp:inline distB="19050" distT="19050" distL="19050" distR="19050">
            <wp:extent cx="793403" cy="248536"/>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93403" cy="248536"/>
                    </a:xfrm>
                    <a:prstGeom prst="rect"/>
                    <a:ln/>
                  </pic:spPr>
                </pic:pic>
              </a:graphicData>
            </a:graphic>
          </wp:inline>
        </w:drawing>
      </w:r>
      <w:r w:rsidDel="00000000" w:rsidR="00000000" w:rsidRPr="00000000">
        <w:rPr>
          <w:rFonts w:ascii="Arial" w:cs="Arial" w:eastAsia="Arial" w:hAnsi="Arial"/>
          <w:color w:val="1f1f1f"/>
          <w:rtl w:val="0"/>
        </w:rPr>
        <w:t xml:space="preserve">) and Potassium Permanganate (</w:t>
      </w:r>
      <w:r w:rsidDel="00000000" w:rsidR="00000000" w:rsidRPr="00000000">
        <w:rPr>
          <w:rFonts w:ascii="Arial" w:cs="Arial" w:eastAsia="Arial" w:hAnsi="Arial"/>
          <w:color w:val="1f1f1f"/>
        </w:rPr>
        <w:drawing>
          <wp:inline distB="19050" distT="19050" distL="19050" distR="19050">
            <wp:extent cx="737145" cy="248906"/>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37145" cy="248906"/>
                    </a:xfrm>
                    <a:prstGeom prst="rect"/>
                    <a:ln/>
                  </pic:spPr>
                </pic:pic>
              </a:graphicData>
            </a:graphic>
          </wp:inline>
        </w:drawing>
      </w:r>
      <w:r w:rsidDel="00000000" w:rsidR="00000000" w:rsidRPr="00000000">
        <w:rPr>
          <w:rFonts w:ascii="Arial" w:cs="Arial" w:eastAsia="Arial" w:hAnsi="Arial"/>
          <w:color w:val="1f1f1f"/>
          <w:rtl w:val="0"/>
        </w:rPr>
        <w:t xml:space="preserve">)—as standard mathematical formulas.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Instead, they bury these crucial reactions inside raw text chunks, drop necessary stoichiometric coefficients, and misinterpret valency states.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construct a "razor-sharp" Chemistry solution model, the pipeline must integrate a specialized Retrieval-Augmented Generation (RAG) loop tailored to a highly structured relational database.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database schema must utilize a robust hierarchical mapping structure, such as PostgreSQL's ltree extension.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allows the system to capture the nested parent-child relationships of NCERT chemistry concepts (e.g., encoding sub-concepts with exact dot-separated labels like C4.GeneralProperties.MagneticProperties).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Distinct relational nodes must be created for raw formulas, worked examples, and descriptive text.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Furthermore, vector indexing, managed via the pgvector extension, requires translating raw LaTeX chemical equations into semantic, plain-English verbalizations.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For instance, the system must translate the abstract electronic configuration </w:t>
      </w:r>
      <w:r w:rsidDel="00000000" w:rsidR="00000000" w:rsidRPr="00000000">
        <w:rPr>
          <w:rFonts w:ascii="Arial" w:cs="Arial" w:eastAsia="Arial" w:hAnsi="Arial"/>
          <w:color w:val="1f1f1f"/>
        </w:rPr>
        <w:drawing>
          <wp:inline distB="19050" distT="19050" distL="19050" distR="19050">
            <wp:extent cx="1494977" cy="247576"/>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94977" cy="247576"/>
                    </a:xfrm>
                    <a:prstGeom prst="rect"/>
                    <a:ln/>
                  </pic:spPr>
                </pic:pic>
              </a:graphicData>
            </a:graphic>
          </wp:inline>
        </w:drawing>
      </w:r>
      <w:r w:rsidDel="00000000" w:rsidR="00000000" w:rsidRPr="00000000">
        <w:rPr>
          <w:rFonts w:ascii="Arial" w:cs="Arial" w:eastAsia="Arial" w:hAnsi="Arial"/>
          <w:color w:val="1f1f1f"/>
          <w:rtl w:val="0"/>
        </w:rPr>
        <w:t xml:space="preserve"> into the textual description: </w:t>
      </w:r>
      <w:r w:rsidDel="00000000" w:rsidR="00000000" w:rsidRPr="00000000">
        <w:rPr>
          <w:rFonts w:ascii="Arial" w:cs="Arial" w:eastAsia="Arial" w:hAnsi="Arial"/>
          <w:i w:val="1"/>
          <w:iCs w:val="1"/>
          <w:color w:val="1f1f1f"/>
          <w:rtl w:val="0"/>
        </w:rPr>
        <w:t xml:space="preserve">"The general electronic configuration is n minus 1 d 1 to 10 ns 1 to 2"</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verbalization ensures high-fidelity cosine similarity matching when the student asks a question in natural language.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the Chemistry Specialist model is invoked, it does not guess the reaction. It first queries this precise ltree structure to extract the exact NCERT canonical text and the relevant, perfectly balanced equations via BM25 and vector search.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Only after retrieving this grounded context does the model synthesize the step-by-step derivation.</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Precision Quantization for Inference Velocity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Deploying large parameter models (such as 32B variants) typically demands massive memory bandwidth, restricting operations to expensive hardware configurations. Given that speed of inference is a primary objective, the merged and fine-tuned models must undergo precision quantization.</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Converting the model weights from 16-bit floating-point precision (BF16 or FP16) down to 8-bit (INT8 or FP8) or 4-bit (INT4 or AWQ) significantly reduces the memory footprint.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State-of-the-art quantization techniques applied to models like the DeepSeek-R1-Distill series achieve near-perfect accuracy recovery across complex reasoning benchmarks.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For 7B and larger models, INT4 quantization preserves over 97% of the original unquantized accuracy.</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Crucially, with optimized inference engines like vLLM, this quantization unlocks significant inference speedups, delivering up to a 4X multiplier in token generation velocity.</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This optimization is the key to maintaining rapid, real-time responsiveness.</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Deployment Economics and Infrastructure on Azure AI Foundry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final phase involves transitioning the quantized, fine-tuned, subject-specific experts into a highly scalable production environment. Moving away from the Gemini stable allows the organization to leverage Microsoft's Azure AI Foundry, which presents highly flexible, enterprise-grade deployment topologies for open-weight models.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Serverless API vs. Provisioned Throughput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Azure AI Foundry offers robust hosting for leading open-weight models (including Meta's Llama, Mistral, Qwen, and DeepSeek) without requiring internal DevOps teams to manually manage complex container orchestration or Kubernetes clusters.</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The deployment modalities are strictly divided into two financial structures: Serverless API endpoints and Provisioned Throughput limits.</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Provisioned Throughput Units (PTUs):</w:t>
      </w:r>
      <w:r w:rsidDel="00000000" w:rsidR="00000000" w:rsidRPr="00000000">
        <w:rPr>
          <w:rFonts w:ascii="Arial" w:cs="Arial" w:eastAsia="Arial" w:hAnsi="Arial"/>
          <w:color w:val="1f1f1f"/>
          <w:rtl w:val="0"/>
        </w:rPr>
        <w:t xml:space="preserve"> This tier dedicates specific, reserved hardware capacity to the deployment. It ensures zero latency spikes during peak traffic and guarantees baseline performance.</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However, it requires a continuous, heavy hourly expenditure regardless of actual utilization.</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This makes it financially inefficient for educational traffic, which is highly fluctuating—characterized by massive spikes during pre-exam evening hours and near-zero utilization during school hours and summer vacations.</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Serverless Pay-As-You-Go:</w:t>
      </w:r>
      <w:r w:rsidDel="00000000" w:rsidR="00000000" w:rsidRPr="00000000">
        <w:rPr>
          <w:rFonts w:ascii="Arial" w:cs="Arial" w:eastAsia="Arial" w:hAnsi="Arial"/>
          <w:color w:val="1f1f1f"/>
          <w:rtl w:val="0"/>
        </w:rPr>
        <w:t xml:space="preserve"> This architecture charges strictly based on the input and output tokens consumed, completely abstracting the underlying GPU management and scaling dynamically with traffic.</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Serverless deployment is the ideal topology for cost-optimized educational operations. It effectively mirrors the highly desirable billing structure of proprietary APIs (like Gemini), but it executes against the organization's custom-trained, subject-specific open-weight models.</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Comparative Total Cost of Ownership (TCO)</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Operating a 32B Serverless endpoint on Azure AI Foundry fundamentally alters the economic equation in favor of the organization. While proprietary frontier models hover between $3.00 and $12.00 per million output tokens, a heavily optimized, self-hosted 32B model reduces the execution expense drastically.</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Architecture /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Operating Modality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Est. Output Cost (Per 1M Tokens)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Fine-Tuning Flexibility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Gemini 3.1 Pro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Proprietary API (Sync)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Locked to Agent Platform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Gemini 2.5 Flash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Proprietary API (Sync)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Supported in Agent Platform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GPT-4o-mini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Proprietary API (Fine-Tuned)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Native, but cost-prohibitive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Qwen/DeepSeek (32B)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Azure AI Foundry Serverless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~$0.50 - $0.80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Fully Open &amp; Customizable</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 Context: The Azure Serverless cost represents amortized compute equivalents for high-efficiency open-weight inference.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It is vital to note that production deployments on Azure will incur additional infrastructural overheads. Features such as Azure AI Search (for the Chemistry RAG database), Blob Storage, and monitoring infrastructure typically append an estimated 15% to 40% margin above the raw token execution metrics.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Even with this overhead, the total cost remains an order of magnitude lower than the Gemini 3.1 Pro baseline.</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Pros and Cons Synthesis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directly address the request for a comparative analysis, the advantages and disadvantages of the two primary pathways—staying within proprietary API ecosystems versus migrating to fine-tuned open-source models on Azure—must be clearly delineated across the vectors of Cost, Speed, and Quality.</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Option A: Retaining Proprietary APIs (Gemini Flash / GPT-4o-mini)</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Pros:</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Infrastructure Simplicity:</w:t>
      </w:r>
      <w:r w:rsidDel="00000000" w:rsidR="00000000" w:rsidRPr="00000000">
        <w:rPr>
          <w:rFonts w:ascii="Arial" w:cs="Arial" w:eastAsia="Arial" w:hAnsi="Arial"/>
          <w:color w:val="1f1f1f"/>
          <w:rtl w:val="0"/>
        </w:rPr>
        <w:t xml:space="preserve"> Requires zero DevOps overhead. The API handles all scaling, load balancing, and hardware maintenance.</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Massive Context Windows:</w:t>
      </w:r>
      <w:r w:rsidDel="00000000" w:rsidR="00000000" w:rsidRPr="00000000">
        <w:rPr>
          <w:rFonts w:ascii="Arial" w:cs="Arial" w:eastAsia="Arial" w:hAnsi="Arial"/>
          <w:color w:val="1f1f1f"/>
          <w:rtl w:val="0"/>
        </w:rPr>
        <w:t xml:space="preserve"> Models like Gemini Flash offer massive native token windows, allowing for the ingestion of entire textbooks without complex RAG setups.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Immediate Availability:</w:t>
      </w:r>
      <w:r w:rsidDel="00000000" w:rsidR="00000000" w:rsidRPr="00000000">
        <w:rPr>
          <w:rFonts w:ascii="Arial" w:cs="Arial" w:eastAsia="Arial" w:hAnsi="Arial"/>
          <w:color w:val="1f1f1f"/>
          <w:rtl w:val="0"/>
        </w:rPr>
        <w:t xml:space="preserve"> Access to the latest updates and multimodal capabilities instantly without managing model weights.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Cons:</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Fine-Tuning Penalty:</w:t>
      </w:r>
      <w:r w:rsidDel="00000000" w:rsidR="00000000" w:rsidRPr="00000000">
        <w:rPr>
          <w:rFonts w:ascii="Arial" w:cs="Arial" w:eastAsia="Arial" w:hAnsi="Arial"/>
          <w:color w:val="1f1f1f"/>
          <w:rtl w:val="0"/>
        </w:rPr>
        <w:t xml:space="preserve"> OpenAI drastically penalizes fine-tuning via inflated inference costs ($15.00/M tokens for GPT-4o-mini output).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Google has deprecated easy AI Studio fine-tuning (restricting it to the legacy 2.5 series on the Enterprise Agent Platform), introducing massive ecosystem friction.</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Vendor Lock-In:</w:t>
      </w:r>
      <w:r w:rsidDel="00000000" w:rsidR="00000000" w:rsidRPr="00000000">
        <w:rPr>
          <w:rFonts w:ascii="Arial" w:cs="Arial" w:eastAsia="Arial" w:hAnsi="Arial"/>
          <w:color w:val="1f1f1f"/>
          <w:rtl w:val="0"/>
        </w:rPr>
        <w:t xml:space="preserve"> Customizations, weights, and fine-tuned behaviors cannot be exported. If the provider raises prices or deprecates a model, the organization must rebuild the pipeline.</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Multi-Task Saturation:</w:t>
      </w:r>
      <w:r w:rsidDel="00000000" w:rsidR="00000000" w:rsidRPr="00000000">
        <w:rPr>
          <w:rFonts w:ascii="Arial" w:cs="Arial" w:eastAsia="Arial" w:hAnsi="Arial"/>
          <w:color w:val="1f1f1f"/>
          <w:rtl w:val="0"/>
        </w:rPr>
        <w:t xml:space="preserve"> Relying on a single proprietary API endpoint forces the use of a generalized model, which struggles with deep, subject-specific nuance compared to targeted experts.</w:t>
      </w:r>
      <w:r w:rsidDel="00000000" w:rsidR="00000000" w:rsidRPr="00000000">
        <w:rPr>
          <w:rFonts w:ascii="Arial" w:cs="Arial" w:eastAsia="Arial" w:hAnsi="Arial"/>
          <w:color w:val="444746"/>
          <w:sz w:val="24"/>
          <w:szCs w:val="24"/>
          <w:vertAlign w:val="superscript"/>
          <w:rtl w:val="0"/>
        </w:rPr>
        <w:t xml:space="preserve">32</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Option B: Open-Source Fine-Tuning on Azure AI Foundry (The Recommended Path)</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Pros:</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Aggressive Cost Reduction:</w:t>
      </w:r>
      <w:r w:rsidDel="00000000" w:rsidR="00000000" w:rsidRPr="00000000">
        <w:rPr>
          <w:rFonts w:ascii="Arial" w:cs="Arial" w:eastAsia="Arial" w:hAnsi="Arial"/>
          <w:color w:val="1f1f1f"/>
          <w:rtl w:val="0"/>
        </w:rPr>
        <w:t xml:space="preserve"> Once deployed via Serverless Azure, inference costs plummet to under $1.00 per million tokens.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Subject-Specific Precision (Quality):</w:t>
      </w:r>
      <w:r w:rsidDel="00000000" w:rsidR="00000000" w:rsidRPr="00000000">
        <w:rPr>
          <w:rFonts w:ascii="Arial" w:cs="Arial" w:eastAsia="Arial" w:hAnsi="Arial"/>
          <w:color w:val="1f1f1f"/>
          <w:rtl w:val="0"/>
        </w:rPr>
        <w:t xml:space="preserve"> Utilizing an S-DAG architecture allows the creation of razor-sharp specialists for Math, Physics, and Chemistry. A model trained exclusively on Qwen/DeepSeek weights for Physics will not hallucinate chemistry syntax, preserving the pedagogical quality of the Gemini 3.1 Pro Teacher.</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Inference Speed:</w:t>
      </w:r>
      <w:r w:rsidDel="00000000" w:rsidR="00000000" w:rsidRPr="00000000">
        <w:rPr>
          <w:rFonts w:ascii="Arial" w:cs="Arial" w:eastAsia="Arial" w:hAnsi="Arial"/>
          <w:color w:val="1f1f1f"/>
          <w:rtl w:val="0"/>
        </w:rPr>
        <w:t xml:space="preserve"> Applying INT4 quantization and utilizing vLLM engines delivers up to 4X faster token generation compared to standard unquantized deployments, ensuring real-time responsiveness.</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Total Ownership:</w:t>
      </w:r>
      <w:r w:rsidDel="00000000" w:rsidR="00000000" w:rsidRPr="00000000">
        <w:rPr>
          <w:rFonts w:ascii="Arial" w:cs="Arial" w:eastAsia="Arial" w:hAnsi="Arial"/>
          <w:color w:val="1f1f1f"/>
          <w:rtl w:val="0"/>
        </w:rPr>
        <w:t xml:space="preserve"> The organization owns the model weights. The system can be migrated between Azure, AWS, or local, on-premise hardware without friction.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Cons:</w:t>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High Upfront Engineering Cost:</w:t>
      </w:r>
      <w:r w:rsidDel="00000000" w:rsidR="00000000" w:rsidRPr="00000000">
        <w:rPr>
          <w:rFonts w:ascii="Arial" w:cs="Arial" w:eastAsia="Arial" w:hAnsi="Arial"/>
          <w:color w:val="1f1f1f"/>
          <w:rtl w:val="0"/>
        </w:rPr>
        <w:t xml:space="preserve"> Building the data synthesis pipeline, orchestrating the Multi-Judge Evaluator, merging models via MergeKit, and optimizing quantization requires highly specialized Machine Learning Ops (MLOps) expertise.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Complex RAG Dependencies:</w:t>
      </w:r>
      <w:r w:rsidDel="00000000" w:rsidR="00000000" w:rsidRPr="00000000">
        <w:rPr>
          <w:rFonts w:ascii="Arial" w:cs="Arial" w:eastAsia="Arial" w:hAnsi="Arial"/>
          <w:color w:val="1f1f1f"/>
          <w:rtl w:val="0"/>
        </w:rPr>
        <w:t xml:space="preserve"> Because smaller models lack massive context windows, they require meticulously engineered databases (like the ltree PostgreSQL setup) to ground their knowledge, particularly in subjects like Chemistry.</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Infrastructure Management:</w:t>
      </w:r>
      <w:r w:rsidDel="00000000" w:rsidR="00000000" w:rsidRPr="00000000">
        <w:rPr>
          <w:rFonts w:ascii="Arial" w:cs="Arial" w:eastAsia="Arial" w:hAnsi="Arial"/>
          <w:color w:val="1f1f1f"/>
          <w:rtl w:val="0"/>
        </w:rPr>
        <w:t xml:space="preserve"> While Serverless Azure mitigates VM management, the organization is still responsible for managing the surrounding architecture, including vector databases, search indices, and API gateways.</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Conclusions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overarching mandate to replace the costly Gemini 3.1 Pro architecture with a highly precise, cost-optimized solution generator for the 11th and 12th-grade NCERT and JEE curricula is both technically and economically achievable. However, relying on proprietary API fine-tuning is a flawed strategy. Google has currently removed SFT capabilities for the newer Gemini 3.x Flash series, and OpenAI imposes severe financial penalties on fine-tuned GPT endpoints, making both ecosystems cost-prohibitive for high-volume educational pipelines.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optimal strategy requires embracing the knowledge distillation paradigm. By retaining Gemini 3.1 Pro strictly as an offline, asynchronous "Teacher" and "Evaluator," the organization can generate flawless, CoT-heavy training datasets at a discounted rate via the Batch API. This Gold Dataset must then be used to fine-tune an ensemble of open-source models.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achieve the requested "razor-sharp" focus, the architecture must transition away from monolithic generalists. Implementing a Subject-based Directed Acyclic Graph (S-DAG) to route queries to highly specialized Mathematics (Merged Qwen2.5/AceMath), Physics (DeepSeek-R1 Distill), and Chemistry (DeepSeek-R1 Distill with robust RAG integration) models ensures that pedagogical quality matches the Teacher model. Finally, by applying INT4 quantization and deploying these targeted experts via Azure AI Foundry’s Serverless tier, the organization will successfully drive operational costs down from $12.00 per million tokens to under $1.00 per million tokens, simultaneously achieving the mandated objectives of cost efficiency, real-time inference speed, and uncompromising academic quality.</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Aryabhata</w:t>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 Platform Pricing | Google Cloud, accessed May 22, 2026, </w:t>
      </w:r>
      <w:hyperlink r:id="rId9">
        <w:r w:rsidDel="00000000" w:rsidR="00000000" w:rsidRPr="00000000">
          <w:rPr>
            <w:rFonts w:ascii="Arial" w:cs="Arial" w:eastAsia="Arial" w:hAnsi="Arial"/>
            <w:color w:val="0000ee"/>
            <w:sz w:val="24"/>
            <w:szCs w:val="24"/>
            <w:u w:val="single"/>
            <w:rtl w:val="0"/>
          </w:rPr>
          <w:t xml:space="preserve">https://cloud.google.com/gemini-enterprise-agent-platform/generative-ai/pricing</w:t>
        </w:r>
      </w:hyperlink>
      <w:r w:rsidDel="00000000" w:rsidR="00000000" w:rsidRPr="00000000">
        <w:rPr>
          <w:rtl w:val="0"/>
        </w:rPr>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Learn about supported models | Firebase AI Logic - Google, accessed May 22, 2026, </w:t>
      </w:r>
      <w:hyperlink r:id="rId10">
        <w:r w:rsidDel="00000000" w:rsidR="00000000" w:rsidRPr="00000000">
          <w:rPr>
            <w:rFonts w:ascii="Arial" w:cs="Arial" w:eastAsia="Arial" w:hAnsi="Arial"/>
            <w:color w:val="0000ee"/>
            <w:sz w:val="24"/>
            <w:szCs w:val="24"/>
            <w:u w:val="single"/>
            <w:rtl w:val="0"/>
          </w:rPr>
          <w:t xml:space="preserve">https://firebase.google.com/docs/ai-logic/models</w:t>
        </w:r>
      </w:hyperlink>
      <w:r w:rsidDel="00000000" w:rsidR="00000000" w:rsidRPr="00000000">
        <w:rPr>
          <w:rtl w:val="0"/>
        </w:rPr>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Gemini 3.5 Flash | Gemini Enterprise Agent Platform - Google Cloud Documentation, accessed May 22, 2026, </w:t>
      </w:r>
      <w:hyperlink r:id="rId11">
        <w:r w:rsidDel="00000000" w:rsidR="00000000" w:rsidRPr="00000000">
          <w:rPr>
            <w:rFonts w:ascii="Arial" w:cs="Arial" w:eastAsia="Arial" w:hAnsi="Arial"/>
            <w:color w:val="0000ee"/>
            <w:sz w:val="24"/>
            <w:szCs w:val="24"/>
            <w:u w:val="single"/>
            <w:rtl w:val="0"/>
          </w:rPr>
          <w:t xml:space="preserve">https://docs.cloud.google.com/gemini-enterprise-agent-platform/models/gemini/3-5-flash</w:t>
        </w:r>
      </w:hyperlink>
      <w:r w:rsidDel="00000000" w:rsidR="00000000" w:rsidRPr="00000000">
        <w:rPr>
          <w:rtl w:val="0"/>
        </w:rPr>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Azure OpenAI Service - Pricing, accessed May 22, 2026, </w:t>
      </w:r>
      <w:hyperlink r:id="rId12">
        <w:r w:rsidDel="00000000" w:rsidR="00000000" w:rsidRPr="00000000">
          <w:rPr>
            <w:rFonts w:ascii="Arial" w:cs="Arial" w:eastAsia="Arial" w:hAnsi="Arial"/>
            <w:color w:val="0000ee"/>
            <w:sz w:val="24"/>
            <w:szCs w:val="24"/>
            <w:u w:val="single"/>
            <w:rtl w:val="0"/>
          </w:rPr>
          <w:t xml:space="preserve">https://azure.microsoft.com/en-us/pricing/details/azure-openai/</w:t>
        </w:r>
      </w:hyperlink>
      <w:r w:rsidDel="00000000" w:rsidR="00000000" w:rsidRPr="00000000">
        <w:rPr>
          <w:rtl w:val="0"/>
        </w:rPr>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GPT-4o mini: advancing cost-efficient intelligence - OpenAI, accessed May 22, 2026, </w:t>
      </w:r>
      <w:hyperlink r:id="rId13">
        <w:r w:rsidDel="00000000" w:rsidR="00000000" w:rsidRPr="00000000">
          <w:rPr>
            <w:rFonts w:ascii="Arial" w:cs="Arial" w:eastAsia="Arial" w:hAnsi="Arial"/>
            <w:color w:val="0000ee"/>
            <w:sz w:val="24"/>
            <w:szCs w:val="24"/>
            <w:u w:val="single"/>
            <w:rtl w:val="0"/>
          </w:rPr>
          <w:t xml:space="preserve">https://openai.com/index/gpt-4o-mini-advancing-cost-efficient-intelligence/</w:t>
        </w:r>
      </w:hyperlink>
      <w:r w:rsidDel="00000000" w:rsidR="00000000" w:rsidRPr="00000000">
        <w:rPr>
          <w:rtl w:val="0"/>
        </w:rPr>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Fine-Tuning with GPT-4o Models - Prompt Engineering Guide, accessed May 22, 2026, </w:t>
      </w:r>
      <w:hyperlink r:id="rId14">
        <w:r w:rsidDel="00000000" w:rsidR="00000000" w:rsidRPr="00000000">
          <w:rPr>
            <w:rFonts w:ascii="Arial" w:cs="Arial" w:eastAsia="Arial" w:hAnsi="Arial"/>
            <w:color w:val="0000ee"/>
            <w:sz w:val="24"/>
            <w:szCs w:val="24"/>
            <w:u w:val="single"/>
            <w:rtl w:val="0"/>
          </w:rPr>
          <w:t xml:space="preserve">https://www.promptingguide.ai/applications/finetuning-gpt4o</w:t>
        </w:r>
      </w:hyperlink>
      <w:r w:rsidDel="00000000" w:rsidR="00000000" w:rsidRPr="00000000">
        <w:rPr>
          <w:rtl w:val="0"/>
        </w:rPr>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Fine-tuning now available for GPT-4o - OpenAI, accessed May 22, 2026, </w:t>
      </w:r>
      <w:hyperlink r:id="rId15">
        <w:r w:rsidDel="00000000" w:rsidR="00000000" w:rsidRPr="00000000">
          <w:rPr>
            <w:rFonts w:ascii="Arial" w:cs="Arial" w:eastAsia="Arial" w:hAnsi="Arial"/>
            <w:color w:val="0000ee"/>
            <w:sz w:val="24"/>
            <w:szCs w:val="24"/>
            <w:u w:val="single"/>
            <w:rtl w:val="0"/>
          </w:rPr>
          <w:t xml:space="preserve">https://openai.com/index/gpt-4o-fine-tuning/</w:t>
        </w:r>
      </w:hyperlink>
      <w:r w:rsidDel="00000000" w:rsidR="00000000" w:rsidRPr="00000000">
        <w:rPr>
          <w:rtl w:val="0"/>
        </w:rPr>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Fine-tuning now available for GPT-4o : r/OpenAI - Reddit, accessed May 22, 2026, </w:t>
      </w:r>
      <w:hyperlink r:id="rId16">
        <w:r w:rsidDel="00000000" w:rsidR="00000000" w:rsidRPr="00000000">
          <w:rPr>
            <w:rFonts w:ascii="Arial" w:cs="Arial" w:eastAsia="Arial" w:hAnsi="Arial"/>
            <w:color w:val="0000ee"/>
            <w:sz w:val="24"/>
            <w:szCs w:val="24"/>
            <w:u w:val="single"/>
            <w:rtl w:val="0"/>
          </w:rPr>
          <w:t xml:space="preserve">https://www.reddit.com/r/OpenAI/comments/1ex2bj4/finetuning_now_available_for_gpt4o/</w:t>
        </w:r>
      </w:hyperlink>
      <w:r w:rsidDel="00000000" w:rsidR="00000000" w:rsidRPr="00000000">
        <w:rPr>
          <w:rtl w:val="0"/>
        </w:rPr>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Anthropic's Transparency Hub, accessed May 22, 2026, </w:t>
      </w:r>
      <w:hyperlink r:id="rId17">
        <w:r w:rsidDel="00000000" w:rsidR="00000000" w:rsidRPr="00000000">
          <w:rPr>
            <w:rFonts w:ascii="Arial" w:cs="Arial" w:eastAsia="Arial" w:hAnsi="Arial"/>
            <w:color w:val="0000ee"/>
            <w:sz w:val="24"/>
            <w:szCs w:val="24"/>
            <w:u w:val="single"/>
            <w:rtl w:val="0"/>
          </w:rPr>
          <w:t xml:space="preserve">https://www.anthropic.com/transparency</w:t>
        </w:r>
      </w:hyperlink>
      <w:r w:rsidDel="00000000" w:rsidR="00000000" w:rsidRPr="00000000">
        <w:rPr>
          <w:rtl w:val="0"/>
        </w:rPr>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Models overview - Claude API Docs, accessed May 22, 2026, </w:t>
      </w:r>
      <w:hyperlink r:id="rId18">
        <w:r w:rsidDel="00000000" w:rsidR="00000000" w:rsidRPr="00000000">
          <w:rPr>
            <w:rFonts w:ascii="Arial" w:cs="Arial" w:eastAsia="Arial" w:hAnsi="Arial"/>
            <w:color w:val="0000ee"/>
            <w:sz w:val="24"/>
            <w:szCs w:val="24"/>
            <w:u w:val="single"/>
            <w:rtl w:val="0"/>
          </w:rPr>
          <w:t xml:space="preserve">https://platform.claude.com/docs/en/about-claude/models/overview</w:t>
        </w:r>
      </w:hyperlink>
      <w:r w:rsidDel="00000000" w:rsidR="00000000" w:rsidRPr="00000000">
        <w:rPr>
          <w:rtl w:val="0"/>
        </w:rPr>
      </w:r>
    </w:p>
    <w:p w:rsidR="00000000" w:rsidDel="00000000" w:rsidP="00000000" w:rsidRDefault="00000000" w:rsidRPr="00000000" w14:paraId="0000008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Introducing Claude Opus 4.7 - Anthropic, accessed May 22, 2026, </w:t>
      </w:r>
      <w:hyperlink r:id="rId19">
        <w:r w:rsidDel="00000000" w:rsidR="00000000" w:rsidRPr="00000000">
          <w:rPr>
            <w:rFonts w:ascii="Arial" w:cs="Arial" w:eastAsia="Arial" w:hAnsi="Arial"/>
            <w:color w:val="0000ee"/>
            <w:sz w:val="24"/>
            <w:szCs w:val="24"/>
            <w:u w:val="single"/>
            <w:rtl w:val="0"/>
          </w:rPr>
          <w:t xml:space="preserve">https://www.anthropic.com/news/claude-opus-4-7</w:t>
        </w:r>
      </w:hyperlink>
      <w:r w:rsidDel="00000000" w:rsidR="00000000" w:rsidRPr="00000000">
        <w:rPr>
          <w:rtl w:val="0"/>
        </w:rPr>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fine-tuning: a complete guide to customizing Anthropic's AI model - Pieces for Developers, accessed May 22, 2026, </w:t>
      </w:r>
      <w:hyperlink r:id="rId20">
        <w:r w:rsidDel="00000000" w:rsidR="00000000" w:rsidRPr="00000000">
          <w:rPr>
            <w:rFonts w:ascii="Arial" w:cs="Arial" w:eastAsia="Arial" w:hAnsi="Arial"/>
            <w:color w:val="0000ee"/>
            <w:sz w:val="24"/>
            <w:szCs w:val="24"/>
            <w:u w:val="single"/>
            <w:rtl w:val="0"/>
          </w:rPr>
          <w:t xml:space="preserve">https://pieces.app/blog/claude-fine-tuning</w:t>
        </w:r>
      </w:hyperlink>
      <w:r w:rsidDel="00000000" w:rsidR="00000000" w:rsidRPr="00000000">
        <w:rPr>
          <w:rtl w:val="0"/>
        </w:rPr>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practices and lessons for fine-tuning Anthropic's Claude 3 Haiku on Amazon Bedrock, accessed May 22, 2026, </w:t>
      </w:r>
      <w:hyperlink r:id="rId21">
        <w:r w:rsidDel="00000000" w:rsidR="00000000" w:rsidRPr="00000000">
          <w:rPr>
            <w:rFonts w:ascii="Arial" w:cs="Arial" w:eastAsia="Arial" w:hAnsi="Arial"/>
            <w:color w:val="0000ee"/>
            <w:sz w:val="24"/>
            <w:szCs w:val="24"/>
            <w:u w:val="single"/>
            <w:rtl w:val="0"/>
          </w:rPr>
          <w:t xml:space="preserve">https://aws.amazon.com/blogs/machine-learning/best-practices-and-lessons-for-fine-tuning-anthropics-claude-3-haiku-on-amazon-bedrock/</w:t>
        </w:r>
      </w:hyperlink>
      <w:r w:rsidDel="00000000" w:rsidR="00000000" w:rsidRPr="00000000">
        <w:rPr>
          <w:rtl w:val="0"/>
        </w:rPr>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MMLU-Pro: A More Robust and Challenging Multi-Task Language Understanding Benchmark - arXiv, accessed May 22, 2026, </w:t>
      </w:r>
      <w:hyperlink r:id="rId22">
        <w:r w:rsidDel="00000000" w:rsidR="00000000" w:rsidRPr="00000000">
          <w:rPr>
            <w:rFonts w:ascii="Arial" w:cs="Arial" w:eastAsia="Arial" w:hAnsi="Arial"/>
            <w:color w:val="0000ee"/>
            <w:sz w:val="24"/>
            <w:szCs w:val="24"/>
            <w:u w:val="single"/>
            <w:rtl w:val="0"/>
          </w:rPr>
          <w:t xml:space="preserve">https://arxiv.org/html/2406.01574v1</w:t>
        </w:r>
      </w:hyperlink>
      <w:r w:rsidDel="00000000" w:rsidR="00000000" w:rsidRPr="00000000">
        <w:rPr>
          <w:rtl w:val="0"/>
        </w:rPr>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Deployment-ready reasoning with quantized DeepSeek-R1 models | Red Hat Developer, accessed May 22, 2026, </w:t>
      </w:r>
      <w:hyperlink r:id="rId23">
        <w:r w:rsidDel="00000000" w:rsidR="00000000" w:rsidRPr="00000000">
          <w:rPr>
            <w:rFonts w:ascii="Arial" w:cs="Arial" w:eastAsia="Arial" w:hAnsi="Arial"/>
            <w:color w:val="0000ee"/>
            <w:sz w:val="24"/>
            <w:szCs w:val="24"/>
            <w:u w:val="single"/>
            <w:rtl w:val="0"/>
          </w:rPr>
          <w:t xml:space="preserve">https://developers.redhat.com/articles/2025/03/03/deployment-ready-reasoning-quantized-deepseek-r1-models</w:t>
        </w:r>
      </w:hyperlink>
      <w:r w:rsidDel="00000000" w:rsidR="00000000" w:rsidRPr="00000000">
        <w:rPr>
          <w:rtl w:val="0"/>
        </w:rPr>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Azure AI vs. AWS AI Services: A Practical Comparison Guide - Leobit, accessed May 22, 2026, </w:t>
      </w:r>
      <w:hyperlink r:id="rId24">
        <w:r w:rsidDel="00000000" w:rsidR="00000000" w:rsidRPr="00000000">
          <w:rPr>
            <w:rFonts w:ascii="Arial" w:cs="Arial" w:eastAsia="Arial" w:hAnsi="Arial"/>
            <w:color w:val="0000ee"/>
            <w:sz w:val="24"/>
            <w:szCs w:val="24"/>
            <w:u w:val="single"/>
            <w:rtl w:val="0"/>
          </w:rPr>
          <w:t xml:space="preserve">https://leobit.com/blog/azure-ai-vs-aws-ai-services-a-practical-comparison-guide/</w:t>
        </w:r>
      </w:hyperlink>
      <w:r w:rsidDel="00000000" w:rsidR="00000000" w:rsidRPr="00000000">
        <w:rPr>
          <w:rtl w:val="0"/>
        </w:rPr>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Fine-tuning with the Gemini API - Google AI for Developers, accessed May 22, 2026, </w:t>
      </w:r>
      <w:hyperlink r:id="rId25">
        <w:r w:rsidDel="00000000" w:rsidR="00000000" w:rsidRPr="00000000">
          <w:rPr>
            <w:rFonts w:ascii="Arial" w:cs="Arial" w:eastAsia="Arial" w:hAnsi="Arial"/>
            <w:color w:val="0000ee"/>
            <w:sz w:val="24"/>
            <w:szCs w:val="24"/>
            <w:u w:val="single"/>
            <w:rtl w:val="0"/>
          </w:rPr>
          <w:t xml:space="preserve">https://ai.google.dev/gemini-api/docs/model-tuning</w:t>
        </w:r>
      </w:hyperlink>
      <w:r w:rsidDel="00000000" w:rsidR="00000000" w:rsidRPr="00000000">
        <w:rPr>
          <w:rtl w:val="0"/>
        </w:rPr>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Azure AI Foundry Pricing 2026: Ultimate Cost Guide - WR Vishnu, accessed May 22, 2026, </w:t>
      </w:r>
      <w:hyperlink r:id="rId26">
        <w:r w:rsidDel="00000000" w:rsidR="00000000" w:rsidRPr="00000000">
          <w:rPr>
            <w:rFonts w:ascii="Arial" w:cs="Arial" w:eastAsia="Arial" w:hAnsi="Arial"/>
            <w:color w:val="0000ee"/>
            <w:sz w:val="24"/>
            <w:szCs w:val="24"/>
            <w:u w:val="single"/>
            <w:rtl w:val="0"/>
          </w:rPr>
          <w:t xml:space="preserve">https://www.wrvishnu.com/azure-ai-foundry-pricing-2026/</w:t>
        </w:r>
      </w:hyperlink>
      <w:r w:rsidDel="00000000" w:rsidR="00000000" w:rsidRPr="00000000">
        <w:rPr>
          <w:rtl w:val="0"/>
        </w:rPr>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Aryabhata: An exam-focused language model for JEE Math - OpenReview, accessed May 22, 2026, </w:t>
      </w:r>
      <w:hyperlink r:id="rId27">
        <w:r w:rsidDel="00000000" w:rsidR="00000000" w:rsidRPr="00000000">
          <w:rPr>
            <w:rFonts w:ascii="Arial" w:cs="Arial" w:eastAsia="Arial" w:hAnsi="Arial"/>
            <w:color w:val="0000ee"/>
            <w:sz w:val="24"/>
            <w:szCs w:val="24"/>
            <w:u w:val="single"/>
            <w:rtl w:val="0"/>
          </w:rPr>
          <w:t xml:space="preserve">https://openreview.net/pdf?id=nDUyqQjUD3</w:t>
        </w:r>
      </w:hyperlink>
      <w:r w:rsidDel="00000000" w:rsidR="00000000" w:rsidRPr="00000000">
        <w:rPr>
          <w:rtl w:val="0"/>
        </w:rPr>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Model Comparison 2025: DeepSeek vs GPT-4 vs Claude vs Llama for Enterprise Use Cases - SoftwareSeni, accessed May 22, 2026, </w:t>
      </w:r>
      <w:hyperlink r:id="rId28">
        <w:r w:rsidDel="00000000" w:rsidR="00000000" w:rsidRPr="00000000">
          <w:rPr>
            <w:rFonts w:ascii="Arial" w:cs="Arial" w:eastAsia="Arial" w:hAnsi="Arial"/>
            <w:color w:val="0000ee"/>
            <w:sz w:val="24"/>
            <w:szCs w:val="24"/>
            <w:u w:val="single"/>
            <w:rtl w:val="0"/>
          </w:rPr>
          <w:t xml:space="preserve">https://www.softwareseni.com/ai-model-comparison-2025-deepseek-vs-gpt-4-vs-claude-vs-llama-for-enterprise-use-cases/</w:t>
        </w:r>
      </w:hyperlink>
      <w:r w:rsidDel="00000000" w:rsidR="00000000" w:rsidRPr="00000000">
        <w:rPr>
          <w:rtl w:val="0"/>
        </w:rPr>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Enterprise RAG Platforms for 2026: A Buyer's Guide - Onyx AI, accessed May 22, 2026, </w:t>
      </w:r>
      <w:hyperlink r:id="rId29">
        <w:r w:rsidDel="00000000" w:rsidR="00000000" w:rsidRPr="00000000">
          <w:rPr>
            <w:rFonts w:ascii="Arial" w:cs="Arial" w:eastAsia="Arial" w:hAnsi="Arial"/>
            <w:color w:val="0000ee"/>
            <w:sz w:val="24"/>
            <w:szCs w:val="24"/>
            <w:u w:val="single"/>
            <w:rtl w:val="0"/>
          </w:rPr>
          <w:t xml:space="preserve">https://onyx.app/insights/enterprise-rag-platforms-2026</w:t>
        </w:r>
      </w:hyperlink>
      <w:r w:rsidDel="00000000" w:rsidR="00000000" w:rsidRPr="00000000">
        <w:rPr>
          <w:rtl w:val="0"/>
        </w:rPr>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Gemini Developer API pricing, accessed May 22, 2026, </w:t>
      </w:r>
      <w:hyperlink r:id="rId30">
        <w:r w:rsidDel="00000000" w:rsidR="00000000" w:rsidRPr="00000000">
          <w:rPr>
            <w:rFonts w:ascii="Arial" w:cs="Arial" w:eastAsia="Arial" w:hAnsi="Arial"/>
            <w:color w:val="0000ee"/>
            <w:sz w:val="24"/>
            <w:szCs w:val="24"/>
            <w:u w:val="single"/>
            <w:rtl w:val="0"/>
          </w:rPr>
          <w:t xml:space="preserve">https://ai.google.dev/gemini-api/docs/pricing</w:t>
        </w:r>
      </w:hyperlink>
      <w:r w:rsidDel="00000000" w:rsidR="00000000" w:rsidRPr="00000000">
        <w:rPr>
          <w:rtl w:val="0"/>
        </w:rPr>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About supervised fine-tuning for Gemini models | Gemini Enterprise Agent Platform | Google Cloud Documentation, accessed May 22, 2026, </w:t>
      </w:r>
      <w:hyperlink r:id="rId31">
        <w:r w:rsidDel="00000000" w:rsidR="00000000" w:rsidRPr="00000000">
          <w:rPr>
            <w:rFonts w:ascii="Arial" w:cs="Arial" w:eastAsia="Arial" w:hAnsi="Arial"/>
            <w:color w:val="0000ee"/>
            <w:sz w:val="24"/>
            <w:szCs w:val="24"/>
            <w:u w:val="single"/>
            <w:rtl w:val="0"/>
          </w:rPr>
          <w:t xml:space="preserve">https://docs.cloud.google.com/gemini-enterprise-agent-platform/models/gemini-supervised-tuning</w:t>
        </w:r>
      </w:hyperlink>
      <w:r w:rsidDel="00000000" w:rsidR="00000000" w:rsidRPr="00000000">
        <w:rPr>
          <w:rtl w:val="0"/>
        </w:rPr>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Papers Explained 433: Aryabhata 1.0 | by Ritvik Rastogi, accessed May 22, 2026, </w:t>
      </w:r>
      <w:hyperlink r:id="rId32">
        <w:r w:rsidDel="00000000" w:rsidR="00000000" w:rsidRPr="00000000">
          <w:rPr>
            <w:rFonts w:ascii="Arial" w:cs="Arial" w:eastAsia="Arial" w:hAnsi="Arial"/>
            <w:color w:val="0000ee"/>
            <w:sz w:val="24"/>
            <w:szCs w:val="24"/>
            <w:u w:val="single"/>
            <w:rtl w:val="0"/>
          </w:rPr>
          <w:t xml:space="preserve">https://ritvik19.medium.com/papers-explained-433-aryabhata-1-0-302d2eb383cc</w:t>
        </w:r>
      </w:hyperlink>
      <w:r w:rsidDel="00000000" w:rsidR="00000000" w:rsidRPr="00000000">
        <w:rPr>
          <w:rtl w:val="0"/>
        </w:rPr>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Aryabhata: An exam-focused language model for JEE Math - arXiv, accessed May 22, 2026, </w:t>
      </w:r>
      <w:hyperlink r:id="rId33">
        <w:r w:rsidDel="00000000" w:rsidR="00000000" w:rsidRPr="00000000">
          <w:rPr>
            <w:rFonts w:ascii="Arial" w:cs="Arial" w:eastAsia="Arial" w:hAnsi="Arial"/>
            <w:color w:val="0000ee"/>
            <w:sz w:val="24"/>
            <w:szCs w:val="24"/>
            <w:u w:val="single"/>
            <w:rtl w:val="0"/>
          </w:rPr>
          <w:t xml:space="preserve">https://arxiv.org/html/2508.08665v1</w:t>
        </w:r>
      </w:hyperlink>
      <w:r w:rsidDel="00000000" w:rsidR="00000000" w:rsidRPr="00000000">
        <w:rPr>
          <w:rtl w:val="0"/>
        </w:rPr>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DeepSeek-R1: The Open-Source Challenger Upending the LLM Market - GMI Cloud, accessed May 22, 2026, </w:t>
      </w:r>
      <w:hyperlink r:id="rId34">
        <w:r w:rsidDel="00000000" w:rsidR="00000000" w:rsidRPr="00000000">
          <w:rPr>
            <w:rFonts w:ascii="Arial" w:cs="Arial" w:eastAsia="Arial" w:hAnsi="Arial"/>
            <w:color w:val="0000ee"/>
            <w:sz w:val="24"/>
            <w:szCs w:val="24"/>
            <w:u w:val="single"/>
            <w:rtl w:val="0"/>
          </w:rPr>
          <w:t xml:space="preserve">https://www.gmicloud.ai/en/blog/deepseek-r1-the-open-source-challenger-upending-the-llm-market</w:t>
        </w:r>
      </w:hyperlink>
      <w:r w:rsidDel="00000000" w:rsidR="00000000" w:rsidRPr="00000000">
        <w:rPr>
          <w:rtl w:val="0"/>
        </w:rPr>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Evaluating the Inference Capability of R1 Models - EvalScope - Read the Docs, accessed May 22, 2026, </w:t>
      </w:r>
      <w:hyperlink r:id="rId35">
        <w:r w:rsidDel="00000000" w:rsidR="00000000" w:rsidRPr="00000000">
          <w:rPr>
            <w:rFonts w:ascii="Arial" w:cs="Arial" w:eastAsia="Arial" w:hAnsi="Arial"/>
            <w:color w:val="0000ee"/>
            <w:sz w:val="24"/>
            <w:szCs w:val="24"/>
            <w:u w:val="single"/>
            <w:rtl w:val="0"/>
          </w:rPr>
          <w:t xml:space="preserve">https://evalscope.readthedocs.io/en/v0.17.0/best_practice/deepseek_r1_distill.html</w:t>
        </w:r>
      </w:hyperlink>
      <w:r w:rsidDel="00000000" w:rsidR="00000000" w:rsidRPr="00000000">
        <w:rPr>
          <w:rtl w:val="0"/>
        </w:rPr>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Quantized DeepSeek R1 Distill Model With Original Model Accuracy : r/LocalLLaMA - Reddit, accessed May 22, 2026, </w:t>
      </w:r>
      <w:hyperlink r:id="rId36">
        <w:r w:rsidDel="00000000" w:rsidR="00000000" w:rsidRPr="00000000">
          <w:rPr>
            <w:rFonts w:ascii="Arial" w:cs="Arial" w:eastAsia="Arial" w:hAnsi="Arial"/>
            <w:color w:val="0000ee"/>
            <w:sz w:val="24"/>
            <w:szCs w:val="24"/>
            <w:u w:val="single"/>
            <w:rtl w:val="0"/>
          </w:rPr>
          <w:t xml:space="preserve">https://www.reddit.com/r/LocalLLaMA/comments/1iskrsp/quantized_deepseek_r1_distill_model_with_original/</w:t>
        </w:r>
      </w:hyperlink>
      <w:r w:rsidDel="00000000" w:rsidR="00000000" w:rsidRPr="00000000">
        <w:rPr>
          <w:rtl w:val="0"/>
        </w:rPr>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data behind DeepSeek's success - Toloka AI, accessed May 22, 2026, </w:t>
      </w:r>
      <w:hyperlink r:id="rId37">
        <w:r w:rsidDel="00000000" w:rsidR="00000000" w:rsidRPr="00000000">
          <w:rPr>
            <w:rFonts w:ascii="Arial" w:cs="Arial" w:eastAsia="Arial" w:hAnsi="Arial"/>
            <w:color w:val="0000ee"/>
            <w:sz w:val="24"/>
            <w:szCs w:val="24"/>
            <w:u w:val="single"/>
            <w:rtl w:val="0"/>
          </w:rPr>
          <w:t xml:space="preserve">https://toloka.ai/blog/the-data-behind-deepseek-s-success/</w:t>
        </w:r>
      </w:hyperlink>
      <w:r w:rsidDel="00000000" w:rsidR="00000000" w:rsidRPr="00000000">
        <w:rPr>
          <w:rtl w:val="0"/>
        </w:rPr>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MMLU-Pro: A More Robust and Challenging Multi-Task Language Understanding Benchmark - ResearchGate, accessed May 22, 2026, </w:t>
      </w:r>
      <w:hyperlink r:id="rId38">
        <w:r w:rsidDel="00000000" w:rsidR="00000000" w:rsidRPr="00000000">
          <w:rPr>
            <w:rFonts w:ascii="Arial" w:cs="Arial" w:eastAsia="Arial" w:hAnsi="Arial"/>
            <w:color w:val="0000ee"/>
            <w:sz w:val="24"/>
            <w:szCs w:val="24"/>
            <w:u w:val="single"/>
            <w:rtl w:val="0"/>
          </w:rPr>
          <w:t xml:space="preserve">https://www.researchgate.net/publication/381152925_MMLU-Pro_A_More_Robust_and_Challenging_Multi-Task_Language_Understanding_Benchmark</w:t>
        </w:r>
      </w:hyperlink>
      <w:r w:rsidDel="00000000" w:rsidR="00000000" w:rsidRPr="00000000">
        <w:rPr>
          <w:rtl w:val="0"/>
        </w:rPr>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Large Language Models Generalize SRL Prediction to New Languages Within But Not Between Domains, accessed May 22, 2026, </w:t>
      </w:r>
      <w:hyperlink r:id="rId39">
        <w:r w:rsidDel="00000000" w:rsidR="00000000" w:rsidRPr="00000000">
          <w:rPr>
            <w:rFonts w:ascii="Arial" w:cs="Arial" w:eastAsia="Arial" w:hAnsi="Arial"/>
            <w:color w:val="0000ee"/>
            <w:sz w:val="24"/>
            <w:szCs w:val="24"/>
            <w:u w:val="single"/>
            <w:rtl w:val="0"/>
          </w:rPr>
          <w:t xml:space="preserve">https://jedm.educationaldatamining.org/index.php/JEDM/article/download/856/260</w:t>
        </w:r>
      </w:hyperlink>
      <w:r w:rsidDel="00000000" w:rsidR="00000000" w:rsidRPr="00000000">
        <w:rPr>
          <w:rtl w:val="0"/>
        </w:rPr>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S-DAG: A Subject-Based Directed Acyclic Graph for Multi-Agent Heterogeneous Reasoning, accessed May 22, 2026, </w:t>
      </w:r>
      <w:hyperlink r:id="rId40">
        <w:r w:rsidDel="00000000" w:rsidR="00000000" w:rsidRPr="00000000">
          <w:rPr>
            <w:rFonts w:ascii="Arial" w:cs="Arial" w:eastAsia="Arial" w:hAnsi="Arial"/>
            <w:color w:val="0000ee"/>
            <w:sz w:val="24"/>
            <w:szCs w:val="24"/>
            <w:u w:val="single"/>
            <w:rtl w:val="0"/>
          </w:rPr>
          <w:t xml:space="preserve">https://ojs.aaai.org/index.php/AAAI/article/view/40180/44141</w:t>
        </w:r>
      </w:hyperlink>
      <w:r w:rsidDel="00000000" w:rsidR="00000000" w:rsidRPr="00000000">
        <w:rPr>
          <w:rtl w:val="0"/>
        </w:rPr>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S-DAG: A Subject-Based Directed Acyclic Graph for Multi-Agent Heterogeneous Reasoning, accessed May 22, 2026, </w:t>
      </w:r>
      <w:hyperlink r:id="rId41">
        <w:r w:rsidDel="00000000" w:rsidR="00000000" w:rsidRPr="00000000">
          <w:rPr>
            <w:rFonts w:ascii="Arial" w:cs="Arial" w:eastAsia="Arial" w:hAnsi="Arial"/>
            <w:color w:val="0000ee"/>
            <w:sz w:val="24"/>
            <w:szCs w:val="24"/>
            <w:u w:val="single"/>
            <w:rtl w:val="0"/>
          </w:rPr>
          <w:t xml:space="preserve">https://arxiv.org/html/2511.06727v2</w:t>
        </w:r>
      </w:hyperlink>
      <w:r w:rsidDel="00000000" w:rsidR="00000000" w:rsidRPr="00000000">
        <w:rPr>
          <w:rtl w:val="0"/>
        </w:rPr>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Foundry Models pricing - Microsoft Azure, accessed May 22, 2026, </w:t>
      </w:r>
      <w:hyperlink r:id="rId42">
        <w:r w:rsidDel="00000000" w:rsidR="00000000" w:rsidRPr="00000000">
          <w:rPr>
            <w:rFonts w:ascii="Arial" w:cs="Arial" w:eastAsia="Arial" w:hAnsi="Arial"/>
            <w:color w:val="0000ee"/>
            <w:sz w:val="24"/>
            <w:szCs w:val="24"/>
            <w:u w:val="single"/>
            <w:rtl w:val="0"/>
          </w:rPr>
          <w:t xml:space="preserve">https://azure.microsoft.com/en-us/pricing/details/ai-foundry-models/fine-tuning-models/</w:t>
        </w:r>
      </w:hyperlink>
      <w:r w:rsidDel="00000000" w:rsidR="00000000" w:rsidRPr="00000000">
        <w:rPr>
          <w:rtl w:val="0"/>
        </w:rPr>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apps with Azure AI Foundry — Azure OpenAI | by Savindu Pasintha - Medium, accessed May 22, 2026, </w:t>
      </w:r>
      <w:hyperlink r:id="rId43">
        <w:r w:rsidDel="00000000" w:rsidR="00000000" w:rsidRPr="00000000">
          <w:rPr>
            <w:rFonts w:ascii="Arial" w:cs="Arial" w:eastAsia="Arial" w:hAnsi="Arial"/>
            <w:color w:val="0000ee"/>
            <w:sz w:val="24"/>
            <w:szCs w:val="24"/>
            <w:u w:val="single"/>
            <w:rtl w:val="0"/>
          </w:rPr>
          <w:t xml:space="preserve">https://savindupasingtha.medium.com/ai-apps-with-azure-ai-foundry-azure-openai-2bdca8c1d77d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ojs.aaai.org/index.php/AAAI/article/view/40180/44141" TargetMode="External"/><Relationship Id="rId20" Type="http://schemas.openxmlformats.org/officeDocument/2006/relationships/hyperlink" Target="https://pieces.app/blog/claude-fine-tuning" TargetMode="External"/><Relationship Id="rId42" Type="http://schemas.openxmlformats.org/officeDocument/2006/relationships/hyperlink" Target="https://azure.microsoft.com/en-us/pricing/details/ai-foundry-models/fine-tuning-models/" TargetMode="External"/><Relationship Id="rId41" Type="http://schemas.openxmlformats.org/officeDocument/2006/relationships/hyperlink" Target="https://arxiv.org/html/2511.06727v2" TargetMode="External"/><Relationship Id="rId22" Type="http://schemas.openxmlformats.org/officeDocument/2006/relationships/hyperlink" Target="https://arxiv.org/html/2406.01574v1" TargetMode="External"/><Relationship Id="rId21" Type="http://schemas.openxmlformats.org/officeDocument/2006/relationships/hyperlink" Target="https://aws.amazon.com/blogs/machine-learning/best-practices-and-lessons-for-fine-tuning-anthropics-claude-3-haiku-on-amazon-bedrock/" TargetMode="External"/><Relationship Id="rId43" Type="http://schemas.openxmlformats.org/officeDocument/2006/relationships/hyperlink" Target="https://savindupasingtha.medium.com/ai-apps-with-azure-ai-foundry-azure-openai-2bdca8c1d77d" TargetMode="External"/><Relationship Id="rId24" Type="http://schemas.openxmlformats.org/officeDocument/2006/relationships/hyperlink" Target="https://leobit.com/blog/azure-ai-vs-aws-ai-services-a-practical-comparison-guide/" TargetMode="External"/><Relationship Id="rId23" Type="http://schemas.openxmlformats.org/officeDocument/2006/relationships/hyperlink" Target="https://developers.redhat.com/articles/2025/03/03/deployment-ready-reasoning-quantized-deepseek-r1-mode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google.com/gemini-enterprise-agent-platform/generative-ai/pricing" TargetMode="External"/><Relationship Id="rId26" Type="http://schemas.openxmlformats.org/officeDocument/2006/relationships/hyperlink" Target="https://www.wrvishnu.com/azure-ai-foundry-pricing-2026/" TargetMode="External"/><Relationship Id="rId25" Type="http://schemas.openxmlformats.org/officeDocument/2006/relationships/hyperlink" Target="https://ai.google.dev/gemini-api/docs/model-tuning" TargetMode="External"/><Relationship Id="rId28" Type="http://schemas.openxmlformats.org/officeDocument/2006/relationships/hyperlink" Target="https://www.softwareseni.com/ai-model-comparison-2025-deepseek-vs-gpt-4-vs-claude-vs-llama-for-enterprise-use-cases/" TargetMode="External"/><Relationship Id="rId27" Type="http://schemas.openxmlformats.org/officeDocument/2006/relationships/hyperlink" Target="https://openreview.net/pdf?id=nDUyqQjUD3"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onyx.app/insights/enterprise-rag-platforms-2026"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docs.cloud.google.com/gemini-enterprise-agent-platform/models/gemini-supervised-tuning" TargetMode="External"/><Relationship Id="rId30" Type="http://schemas.openxmlformats.org/officeDocument/2006/relationships/hyperlink" Target="https://ai.google.dev/gemini-api/docs/pricing" TargetMode="External"/><Relationship Id="rId11" Type="http://schemas.openxmlformats.org/officeDocument/2006/relationships/hyperlink" Target="https://docs.cloud.google.com/gemini-enterprise-agent-platform/models/gemini/3-5-flash" TargetMode="External"/><Relationship Id="rId33" Type="http://schemas.openxmlformats.org/officeDocument/2006/relationships/hyperlink" Target="https://arxiv.org/html/2508.08665v1" TargetMode="External"/><Relationship Id="rId10" Type="http://schemas.openxmlformats.org/officeDocument/2006/relationships/hyperlink" Target="https://firebase.google.com/docs/ai-logic/models" TargetMode="External"/><Relationship Id="rId32" Type="http://schemas.openxmlformats.org/officeDocument/2006/relationships/hyperlink" Target="https://ritvik19.medium.com/papers-explained-433-aryabhata-1-0-302d2eb383cc" TargetMode="External"/><Relationship Id="rId13" Type="http://schemas.openxmlformats.org/officeDocument/2006/relationships/hyperlink" Target="https://openai.com/index/gpt-4o-mini-advancing-cost-efficient-intelligence/" TargetMode="External"/><Relationship Id="rId35" Type="http://schemas.openxmlformats.org/officeDocument/2006/relationships/hyperlink" Target="https://evalscope.readthedocs.io/en/v0.17.0/best_practice/deepseek_r1_distill.html" TargetMode="External"/><Relationship Id="rId12" Type="http://schemas.openxmlformats.org/officeDocument/2006/relationships/hyperlink" Target="https://azure.microsoft.com/en-us/pricing/details/azure-openai/" TargetMode="External"/><Relationship Id="rId34" Type="http://schemas.openxmlformats.org/officeDocument/2006/relationships/hyperlink" Target="https://www.gmicloud.ai/en/blog/deepseek-r1-the-open-source-challenger-upending-the-llm-market" TargetMode="External"/><Relationship Id="rId15" Type="http://schemas.openxmlformats.org/officeDocument/2006/relationships/hyperlink" Target="https://openai.com/index/gpt-4o-fine-tuning/" TargetMode="External"/><Relationship Id="rId37" Type="http://schemas.openxmlformats.org/officeDocument/2006/relationships/hyperlink" Target="https://toloka.ai/blog/the-data-behind-deepseek-s-success/" TargetMode="External"/><Relationship Id="rId14" Type="http://schemas.openxmlformats.org/officeDocument/2006/relationships/hyperlink" Target="https://www.promptingguide.ai/applications/finetuning-gpt4o" TargetMode="External"/><Relationship Id="rId36" Type="http://schemas.openxmlformats.org/officeDocument/2006/relationships/hyperlink" Target="https://www.reddit.com/r/LocalLLaMA/comments/1iskrsp/quantized_deepseek_r1_distill_model_with_original/" TargetMode="External"/><Relationship Id="rId17" Type="http://schemas.openxmlformats.org/officeDocument/2006/relationships/hyperlink" Target="https://www.anthropic.com/transparency" TargetMode="External"/><Relationship Id="rId39" Type="http://schemas.openxmlformats.org/officeDocument/2006/relationships/hyperlink" Target="https://jedm.educationaldatamining.org/index.php/JEDM/article/download/856/260" TargetMode="External"/><Relationship Id="rId16" Type="http://schemas.openxmlformats.org/officeDocument/2006/relationships/hyperlink" Target="https://www.reddit.com/r/OpenAI/comments/1ex2bj4/finetuning_now_available_for_gpt4o/" TargetMode="External"/><Relationship Id="rId38" Type="http://schemas.openxmlformats.org/officeDocument/2006/relationships/hyperlink" Target="https://www.researchgate.net/publication/381152925_MMLU-Pro_A_More_Robust_and_Challenging_Multi-Task_Language_Understanding_Benchmark" TargetMode="External"/><Relationship Id="rId19" Type="http://schemas.openxmlformats.org/officeDocument/2006/relationships/hyperlink" Target="https://www.anthropic.com/news/claude-opus-4-7" TargetMode="External"/><Relationship Id="rId18" Type="http://schemas.openxmlformats.org/officeDocument/2006/relationships/hyperlink" Target="https://platform.claude.com/docs/en/about-claude/models/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