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Supervision Meeting Agenda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Trustworthy RAG: An Evaluation Agent for Detecting Misinformation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and Knowledge Poisoning in Generative AI Systems</w:t>
      </w:r>
    </w:p>
    <w:p>
      <w:pPr>
        <w:pBdr>
          <w:bottom w:val="single" w:color="4B0082" w:sz="6" w:space="6"/>
        </w:pBdr>
        <w:spacing w:after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 March 2026 (Thursday)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     Duration: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30 minutes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Supervisor: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Toufique Hasan (GPT Lab, Tampere University)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Student: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Balkrishna Giri (balkrishna.giri@tuni.fi)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1. Meeting Agenda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Talking 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0–2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Opening &amp; context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Brief recap: Ch1–6 complete, Ch7–8 + abstract remaining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2–10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update: Ch6 results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Walk through key tables: 86% acc, 61% F1, per-strategy detection hierarchy, 13s latency overhead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discussion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Entity swap/subtle detection limits (16.7% recall); FP spillover effect; BART-MNLI CPU bottleneck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Questions for supervisor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targeted questions (see Section 2 below)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20–27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 &amp; next steps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Writing plan for Ch7, Ch8, abstract; target submission by end of May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27–30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items &amp; close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Confirm next meeting date; agree on deliverables</w:t>
            </w:r>
          </w:p>
        </w:tc>
      </w:tr>
    </w:tbl>
    <w:p>
      <w:pPr>
        <w:spacing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2. Questions for Supervisor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The following questions address specific technical and structural decisions where supervisor guidance would directly impact the remaining thesis work.</w:t>
      </w:r>
    </w:p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Entity swap and subtle manipulation achieve only 16.7% recall, which I identify as an architectural limit of surface-signal detection. Should I frame this purely as a limitation and future-work item, or would you prefer I attempt a proof-of-concept external knowledge lookup (e.g., Wikidata API) to demonstrate improved detection, even if it’s outside the original scope?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Context: This directly affects how I write Ch7 (Discussion) — either as an honest boundary of the current approach, or as a partially addressed extension. The supervision plan scope says “Knowledge Injection attacks” only, so external KB lookup may exceed scope.</w:t>
      </w:r>
    </w:p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ablation table (Table 6.4) has several cells marked “---” because each weight configuration was only evaluated against its primary target metric. Should I re-run all four configurations with full metric recording to complete the table, or is the current partial-metric presentation acceptable for submission?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Context: Re-running would take approximately 4–6 hours on FARMI and would strengthen the ablation analysis. The current footnoted approach is defensible but leaves gaps.</w:t>
      </w:r>
    </w:p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Chapter 7 (Discussion), should I include a section on alignment with the EU AI Act and ISO/IEC trustworthy AI standards as planned in the supervision plan outline, or focus the discussion purely on the technical contributions and keep regulatory alignment brief?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Context: The supervision plan’s Ch7 outline includes “Alignment with Ethical AI and Security Frameworks,” but dedicating a full section to regulatory frameworks may dilute the technical contribution narrative. A brief paragraph vs. a full subsection is the decision point.</w:t>
      </w:r>
    </w:p>
    <w:p>
      <w:pPr>
        <w:spacing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3. Current Thesis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4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Ch1 – Introduction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RQs, objectives, scope defined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Ch2 – Theoretical 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LLM, RAG, threat landscape, NLI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Ch3 – Literature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Gaps identified, 15+ references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Ch4 – Research Methodology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DSR paradigm, threat model, metrics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Ch5 – Evaluation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Architecture, 5-signal detector, Trust Index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Ch6 – Experimental 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tables, ablation, latency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Ch7 – Discussion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Planned: RQ synthesis, limitations, ethics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Ch8 – Conclusion &amp; Future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Planned: summary, contributions, roadmap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Draft text prepared, needs final numbers</w:t>
            </w:r>
          </w:p>
        </w:tc>
      </w:tr>
    </w:tbl>
    <w:p>
      <w:pPr>
        <w:spacing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4. Proposed Completion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5–16 Mar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Chapter 7 (Discussion) complete draft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3D9A"/>
                <w:sz w:val="20"/>
                <w:szCs w:val="20"/>
              </w:rPr>
              <w:t xml:space="preserve">M4a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17–23 Mar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Chapter 8 (Conclusion) + Abstract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3D9A"/>
                <w:sz w:val="20"/>
                <w:szCs w:val="20"/>
              </w:rPr>
              <w:t xml:space="preserve">M4b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Mar–13 Apr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draft for supervisor review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3D9A"/>
                <w:sz w:val="20"/>
                <w:szCs w:val="20"/>
              </w:rPr>
              <w:t xml:space="preserve">M4c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Apr–4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Revisions based on supervisor feedback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3D9A"/>
                <w:sz w:val="20"/>
                <w:szCs w:val="20"/>
              </w:rPr>
              <w:t xml:space="preserve">M4d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May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Final submission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3D9A"/>
                <w:sz w:val="20"/>
                <w:szCs w:val="20"/>
              </w:rPr>
              <w:t xml:space="preserve">Target</w:t>
            </w:r>
          </w:p>
        </w:tc>
      </w:tr>
    </w:tbl>
    <w:p>
      <w:pPr>
        <w:spacing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5. Key Results at a Glance (for discussion)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are the headline numbers to walk the supervisor through during the progress update segment: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Overall: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86% accuracy, 61.1% F1, 73.3% recall on TruthfulQA mixed (50 samples)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Best case: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Instruction injection detected at 100% recall with 0.407 trust score separation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Worst case: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Entity swap at 16.7% recall / 0.071 separation — architectural limit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FEVER: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+5% over baseline (90% vs 85%), validating document enrichment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Latency: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~13s per query (13x overhead), CPU-bound BART-MNLI bottleneck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Trust Index: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Default weights (0.40/0.35/0.25) confirmed as best trade-off by ablation study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Balkrishna Giri  |  Master’s Thesis  |  Tampere University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0082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4B0082"/>
        <w:sz w:val="18"/>
        <w:szCs w:val="18"/>
      </w:rPr>
      <w:t xml:space="preserve">Supervisor Meeting Agenda</w:t>
    </w:r>
    <w:r>
      <w:rPr>
        <w:rFonts w:ascii="Arial" w:cs="Arial" w:eastAsia="Arial" w:hAnsi="Arial"/>
        <w:color w:val="666666"/>
        <w:sz w:val="18"/>
        <w:szCs w:val="18"/>
      </w:rPr>
      <w:t xml:space="preserve">	5 March 2026  |  30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4B008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2026-03-02T22:27:01.349Z</dcterms:created>
  <dcterms:modified xsi:type="dcterms:W3CDTF">2026-03-02T22:27:01.349Z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