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95E8A" w14:textId="204B4A10" w:rsidR="0026273E" w:rsidRPr="00723CC6" w:rsidRDefault="00537165" w:rsidP="00537165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537165">
        <w:rPr>
          <w:rFonts w:ascii="IBM Plex Sans" w:hAnsi="IBM Plex Sans"/>
          <w:b/>
          <w:bCs/>
          <w:color w:val="EE0000"/>
          <w:sz w:val="28"/>
          <w:szCs w:val="28"/>
        </w:rPr>
        <w:t xml:space="preserve">Validation Rules </w:t>
      </w:r>
    </w:p>
    <w:p w14:paraId="09D5FD90" w14:textId="40BCB5DB" w:rsidR="00537165" w:rsidRPr="00537165" w:rsidRDefault="00537165" w:rsidP="00537165">
      <w:pPr>
        <w:rPr>
          <w:rFonts w:ascii="IBM Plex Sans" w:hAnsi="IBM Plex Sans"/>
        </w:rPr>
      </w:pPr>
      <w:r w:rsidRPr="00537165">
        <w:rPr>
          <w:rFonts w:ascii="IBM Plex Sans" w:hAnsi="IBM Plex Sans"/>
        </w:rPr>
        <w:t xml:space="preserve">Validation Rules help maintain </w:t>
      </w:r>
      <w:r w:rsidRPr="00537165">
        <w:rPr>
          <w:rFonts w:ascii="IBM Plex Sans" w:hAnsi="IBM Plex Sans"/>
          <w:b/>
          <w:bCs/>
        </w:rPr>
        <w:t>data accuracy and integrity</w:t>
      </w:r>
      <w:r w:rsidRPr="00537165">
        <w:rPr>
          <w:rFonts w:ascii="IBM Plex Sans" w:hAnsi="IBM Plex Sans"/>
        </w:rPr>
        <w:t xml:space="preserve"> by preventing users from saving incorrect or inconsistent data in records.</w:t>
      </w:r>
    </w:p>
    <w:p w14:paraId="716D3D4C" w14:textId="77777777" w:rsidR="00537165" w:rsidRPr="0026273E" w:rsidRDefault="00537165" w:rsidP="0026273E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26273E">
        <w:rPr>
          <w:rFonts w:ascii="IBM Plex Sans" w:hAnsi="IBM Plex Sans"/>
        </w:rPr>
        <w:t xml:space="preserve">A validation rule contains a </w:t>
      </w:r>
      <w:r w:rsidRPr="0026273E">
        <w:rPr>
          <w:rFonts w:ascii="IBM Plex Sans" w:hAnsi="IBM Plex Sans"/>
          <w:b/>
          <w:bCs/>
        </w:rPr>
        <w:t>formula or expression</w:t>
      </w:r>
      <w:r w:rsidRPr="0026273E">
        <w:rPr>
          <w:rFonts w:ascii="IBM Plex Sans" w:hAnsi="IBM Plex Sans"/>
        </w:rPr>
        <w:t xml:space="preserve"> that evaluates one or more field values and returns </w:t>
      </w:r>
      <w:r w:rsidRPr="0026273E">
        <w:rPr>
          <w:rFonts w:ascii="IBM Plex Sans" w:hAnsi="IBM Plex Sans"/>
          <w:b/>
          <w:bCs/>
        </w:rPr>
        <w:t>TRUE or FALSE</w:t>
      </w:r>
      <w:r w:rsidRPr="0026273E">
        <w:rPr>
          <w:rFonts w:ascii="IBM Plex Sans" w:hAnsi="IBM Plex Sans"/>
        </w:rPr>
        <w:t>.</w:t>
      </w:r>
    </w:p>
    <w:p w14:paraId="06D59176" w14:textId="77777777" w:rsidR="00537165" w:rsidRPr="0026273E" w:rsidRDefault="00537165" w:rsidP="0026273E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26273E">
        <w:rPr>
          <w:rFonts w:ascii="IBM Plex Sans" w:hAnsi="IBM Plex Sans"/>
        </w:rPr>
        <w:t xml:space="preserve">If the result is </w:t>
      </w:r>
      <w:r w:rsidRPr="0026273E">
        <w:rPr>
          <w:rFonts w:ascii="IBM Plex Sans" w:hAnsi="IBM Plex Sans"/>
          <w:b/>
          <w:bCs/>
        </w:rPr>
        <w:t>TRUE</w:t>
      </w:r>
      <w:r w:rsidRPr="0026273E">
        <w:rPr>
          <w:rFonts w:ascii="IBM Plex Sans" w:hAnsi="IBM Plex Sans"/>
        </w:rPr>
        <w:t xml:space="preserve">, Salesforce </w:t>
      </w:r>
      <w:r w:rsidRPr="0026273E">
        <w:rPr>
          <w:rFonts w:ascii="IBM Plex Sans" w:hAnsi="IBM Plex Sans"/>
          <w:b/>
          <w:bCs/>
        </w:rPr>
        <w:t>displays an error message</w:t>
      </w:r>
      <w:r w:rsidRPr="0026273E">
        <w:rPr>
          <w:rFonts w:ascii="IBM Plex Sans" w:hAnsi="IBM Plex Sans"/>
        </w:rPr>
        <w:t xml:space="preserve"> and prevents the record from being saved.</w:t>
      </w:r>
    </w:p>
    <w:p w14:paraId="4A3A114A" w14:textId="77777777" w:rsidR="00537165" w:rsidRPr="0026273E" w:rsidRDefault="00537165" w:rsidP="0026273E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26273E">
        <w:rPr>
          <w:rFonts w:ascii="IBM Plex Sans" w:hAnsi="IBM Plex Sans"/>
        </w:rPr>
        <w:t xml:space="preserve">If </w:t>
      </w:r>
      <w:r w:rsidRPr="0026273E">
        <w:rPr>
          <w:rFonts w:ascii="IBM Plex Sans" w:hAnsi="IBM Plex Sans"/>
          <w:b/>
          <w:bCs/>
        </w:rPr>
        <w:t>FALSE</w:t>
      </w:r>
      <w:r w:rsidRPr="0026273E">
        <w:rPr>
          <w:rFonts w:ascii="IBM Plex Sans" w:hAnsi="IBM Plex Sans"/>
        </w:rPr>
        <w:t>, the record is saved successfully.</w:t>
      </w:r>
    </w:p>
    <w:p w14:paraId="5BE80B0A" w14:textId="1B28D548" w:rsidR="00537165" w:rsidRPr="00537165" w:rsidRDefault="00537165" w:rsidP="00537165">
      <w:pPr>
        <w:rPr>
          <w:rFonts w:ascii="IBM Plex Sans" w:hAnsi="IBM Plex Sans"/>
        </w:rPr>
      </w:pPr>
    </w:p>
    <w:p w14:paraId="4FBA9A94" w14:textId="77777777" w:rsidR="0026273E" w:rsidRDefault="0026273E" w:rsidP="00537165">
      <w:pPr>
        <w:rPr>
          <w:rFonts w:ascii="IBM Plex Sans" w:hAnsi="IBM Plex Sans"/>
          <w:b/>
          <w:bCs/>
          <w:color w:val="70AD47" w:themeColor="accent6"/>
        </w:rPr>
      </w:pPr>
      <w:r w:rsidRPr="00537165">
        <w:rPr>
          <w:rFonts w:ascii="Segoe UI Emoji" w:hAnsi="Segoe UI Emoji" w:cs="Segoe UI Emoji"/>
        </w:rPr>
        <w:t>⚠️</w:t>
      </w:r>
      <w:r w:rsidR="00537165" w:rsidRPr="00537165">
        <w:rPr>
          <w:rFonts w:ascii="IBM Plex Sans" w:hAnsi="IBM Plex Sans"/>
          <w:b/>
          <w:bCs/>
          <w:color w:val="70AD47" w:themeColor="accent6"/>
        </w:rPr>
        <w:t>Limitations of Validation Rules</w:t>
      </w:r>
    </w:p>
    <w:p w14:paraId="4075F923" w14:textId="3474265D" w:rsidR="00537165" w:rsidRPr="0026273E" w:rsidRDefault="00537165" w:rsidP="0026273E">
      <w:pPr>
        <w:pStyle w:val="ListParagraph"/>
        <w:numPr>
          <w:ilvl w:val="0"/>
          <w:numId w:val="15"/>
        </w:numPr>
        <w:rPr>
          <w:rFonts w:ascii="IBM Plex Sans" w:hAnsi="IBM Plex Sans"/>
          <w:b/>
          <w:bCs/>
          <w:color w:val="70AD47" w:themeColor="accent6"/>
        </w:rPr>
      </w:pPr>
      <w:r w:rsidRPr="0026273E">
        <w:rPr>
          <w:rFonts w:ascii="IBM Plex Sans" w:hAnsi="IBM Plex Sans"/>
        </w:rPr>
        <w:t>If multiple validation rules exist on the same object, you cannot control the order in which they fire.</w:t>
      </w:r>
    </w:p>
    <w:p w14:paraId="5AAFF024" w14:textId="66F07F45" w:rsidR="00537165" w:rsidRPr="0026273E" w:rsidRDefault="00537165" w:rsidP="0026273E">
      <w:pPr>
        <w:pStyle w:val="ListParagraph"/>
        <w:numPr>
          <w:ilvl w:val="0"/>
          <w:numId w:val="15"/>
        </w:numPr>
        <w:rPr>
          <w:rFonts w:ascii="IBM Plex Sans" w:hAnsi="IBM Plex Sans"/>
        </w:rPr>
      </w:pPr>
      <w:r w:rsidRPr="0026273E">
        <w:rPr>
          <w:rFonts w:ascii="IBM Plex Sans" w:hAnsi="IBM Plex Sans"/>
        </w:rPr>
        <w:t xml:space="preserve">They run </w:t>
      </w:r>
      <w:r w:rsidRPr="0026273E">
        <w:rPr>
          <w:rFonts w:ascii="IBM Plex Sans" w:hAnsi="IBM Plex Sans"/>
          <w:b/>
          <w:bCs/>
        </w:rPr>
        <w:t>only on insert and update</w:t>
      </w:r>
      <w:r w:rsidRPr="0026273E">
        <w:rPr>
          <w:rFonts w:ascii="IBM Plex Sans" w:hAnsi="IBM Plex Sans"/>
        </w:rPr>
        <w:t>, not on delete.</w:t>
      </w:r>
    </w:p>
    <w:p w14:paraId="2A9C68D9" w14:textId="334F70D4" w:rsidR="00537165" w:rsidRPr="0026273E" w:rsidRDefault="00537165" w:rsidP="0026273E">
      <w:pPr>
        <w:pStyle w:val="ListParagraph"/>
        <w:numPr>
          <w:ilvl w:val="0"/>
          <w:numId w:val="15"/>
        </w:numPr>
        <w:rPr>
          <w:rFonts w:ascii="IBM Plex Sans" w:hAnsi="IBM Plex Sans"/>
        </w:rPr>
      </w:pPr>
      <w:r w:rsidRPr="0026273E">
        <w:rPr>
          <w:rFonts w:ascii="IBM Plex Sans" w:hAnsi="IBM Plex Sans"/>
        </w:rPr>
        <w:t>Too many complex validation rules can slow down record save performance.</w:t>
      </w:r>
    </w:p>
    <w:p w14:paraId="4D6F2985" w14:textId="09A84B09" w:rsidR="00537165" w:rsidRPr="0026273E" w:rsidRDefault="00537165" w:rsidP="0026273E">
      <w:pPr>
        <w:pStyle w:val="ListParagraph"/>
        <w:numPr>
          <w:ilvl w:val="0"/>
          <w:numId w:val="15"/>
        </w:numPr>
        <w:rPr>
          <w:rFonts w:ascii="IBM Plex Sans" w:hAnsi="IBM Plex Sans"/>
        </w:rPr>
      </w:pPr>
      <w:r w:rsidRPr="0026273E">
        <w:rPr>
          <w:rFonts w:ascii="IBM Plex Sans" w:hAnsi="IBM Plex Sans"/>
        </w:rPr>
        <w:t xml:space="preserve">Maximum formula size is </w:t>
      </w:r>
      <w:r w:rsidRPr="0026273E">
        <w:rPr>
          <w:rFonts w:ascii="IBM Plex Sans" w:hAnsi="IBM Plex Sans"/>
          <w:b/>
          <w:bCs/>
        </w:rPr>
        <w:t>3,900 characters</w:t>
      </w:r>
      <w:r w:rsidRPr="0026273E">
        <w:rPr>
          <w:rFonts w:ascii="IBM Plex Sans" w:hAnsi="IBM Plex Sans"/>
        </w:rPr>
        <w:t xml:space="preserve"> (compiled size up to </w:t>
      </w:r>
      <w:r w:rsidRPr="0026273E">
        <w:rPr>
          <w:rFonts w:ascii="IBM Plex Sans" w:hAnsi="IBM Plex Sans"/>
          <w:b/>
          <w:bCs/>
        </w:rPr>
        <w:t>5,000 characters</w:t>
      </w:r>
      <w:r w:rsidRPr="0026273E">
        <w:rPr>
          <w:rFonts w:ascii="IBM Plex Sans" w:hAnsi="IBM Plex Sans"/>
        </w:rPr>
        <w:t>).</w:t>
      </w:r>
    </w:p>
    <w:p w14:paraId="1C037A01" w14:textId="77777777" w:rsidR="00545BAC" w:rsidRPr="0026273E" w:rsidRDefault="00545BAC">
      <w:pPr>
        <w:rPr>
          <w:rFonts w:ascii="IBM Plex Sans" w:hAnsi="IBM Plex Sans"/>
        </w:rPr>
      </w:pPr>
    </w:p>
    <w:p w14:paraId="2A9BA83D" w14:textId="5465136A" w:rsidR="0026273E" w:rsidRPr="00723CC6" w:rsidRDefault="00537165" w:rsidP="00537165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537165">
        <w:rPr>
          <w:rFonts w:ascii="IBM Plex Sans" w:hAnsi="IBM Plex Sans"/>
          <w:b/>
          <w:bCs/>
          <w:color w:val="EE0000"/>
          <w:sz w:val="28"/>
          <w:szCs w:val="28"/>
        </w:rPr>
        <w:t xml:space="preserve">Formula Field </w:t>
      </w:r>
    </w:p>
    <w:p w14:paraId="14E7ACB1" w14:textId="77777777" w:rsidR="0026273E" w:rsidRDefault="00537165" w:rsidP="0026273E">
      <w:pPr>
        <w:rPr>
          <w:rFonts w:ascii="IBM Plex Sans" w:hAnsi="IBM Plex Sans"/>
        </w:rPr>
      </w:pPr>
      <w:r w:rsidRPr="0026273E">
        <w:rPr>
          <w:rFonts w:ascii="IBM Plex Sans" w:hAnsi="IBM Plex Sans"/>
        </w:rPr>
        <w:t xml:space="preserve">A </w:t>
      </w:r>
      <w:r w:rsidRPr="0026273E">
        <w:rPr>
          <w:rFonts w:ascii="IBM Plex Sans" w:hAnsi="IBM Plex Sans"/>
          <w:b/>
          <w:bCs/>
        </w:rPr>
        <w:t>Formula Field</w:t>
      </w:r>
      <w:r w:rsidRPr="0026273E">
        <w:rPr>
          <w:rFonts w:ascii="IBM Plex Sans" w:hAnsi="IBM Plex Sans"/>
        </w:rPr>
        <w:t xml:space="preserve"> is a </w:t>
      </w:r>
      <w:r w:rsidRPr="0026273E">
        <w:rPr>
          <w:rFonts w:ascii="IBM Plex Sans" w:hAnsi="IBM Plex Sans"/>
          <w:b/>
          <w:bCs/>
        </w:rPr>
        <w:t>read-only field</w:t>
      </w:r>
      <w:r w:rsidRPr="0026273E">
        <w:rPr>
          <w:rFonts w:ascii="IBM Plex Sans" w:hAnsi="IBM Plex Sans"/>
        </w:rPr>
        <w:t xml:space="preserve"> that automatically derives its value based on a </w:t>
      </w:r>
      <w:r w:rsidRPr="0026273E">
        <w:rPr>
          <w:rFonts w:ascii="IBM Plex Sans" w:hAnsi="IBM Plex Sans"/>
          <w:b/>
          <w:bCs/>
        </w:rPr>
        <w:t>formula expression</w:t>
      </w:r>
      <w:r w:rsidRPr="0026273E">
        <w:rPr>
          <w:rFonts w:ascii="IBM Plex Sans" w:hAnsi="IBM Plex Sans"/>
        </w:rPr>
        <w:t xml:space="preserve"> defined by the user.</w:t>
      </w:r>
    </w:p>
    <w:p w14:paraId="3A496D63" w14:textId="28A687D3" w:rsidR="00537165" w:rsidRDefault="00537165" w:rsidP="00537165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26273E">
        <w:rPr>
          <w:rFonts w:ascii="IBM Plex Sans" w:hAnsi="IBM Plex Sans"/>
        </w:rPr>
        <w:t xml:space="preserve">Formula Fields can be created on </w:t>
      </w:r>
      <w:r w:rsidRPr="0026273E">
        <w:rPr>
          <w:rFonts w:ascii="IBM Plex Sans" w:hAnsi="IBM Plex Sans"/>
          <w:b/>
          <w:bCs/>
        </w:rPr>
        <w:t>both Standard and Custom Objects</w:t>
      </w:r>
      <w:r w:rsidRPr="0026273E">
        <w:rPr>
          <w:rFonts w:ascii="IBM Plex Sans" w:hAnsi="IBM Plex Sans"/>
        </w:rPr>
        <w:t xml:space="preserve"> and are evaluated </w:t>
      </w:r>
      <w:r w:rsidRPr="0026273E">
        <w:rPr>
          <w:rFonts w:ascii="IBM Plex Sans" w:hAnsi="IBM Plex Sans"/>
          <w:b/>
          <w:bCs/>
        </w:rPr>
        <w:t>in real-time</w:t>
      </w:r>
      <w:r w:rsidRPr="0026273E">
        <w:rPr>
          <w:rFonts w:ascii="IBM Plex Sans" w:hAnsi="IBM Plex Sans"/>
        </w:rPr>
        <w:t>.</w:t>
      </w:r>
    </w:p>
    <w:p w14:paraId="260FD226" w14:textId="77777777" w:rsidR="00BF2E43" w:rsidRPr="00BF2E43" w:rsidRDefault="00BF2E43" w:rsidP="00BF2E43">
      <w:pPr>
        <w:pStyle w:val="ListParagraph"/>
        <w:rPr>
          <w:rFonts w:ascii="IBM Plex Sans" w:hAnsi="IBM Plex Sans"/>
        </w:rPr>
      </w:pPr>
    </w:p>
    <w:p w14:paraId="2DF644E9" w14:textId="77777777" w:rsidR="00537165" w:rsidRPr="00537165" w:rsidRDefault="00537165" w:rsidP="00537165">
      <w:pPr>
        <w:rPr>
          <w:rFonts w:ascii="IBM Plex Sans" w:hAnsi="IBM Plex Sans"/>
          <w:b/>
          <w:bCs/>
          <w:color w:val="70AD47" w:themeColor="accent6"/>
        </w:rPr>
      </w:pPr>
      <w:r w:rsidRPr="00537165">
        <w:rPr>
          <w:rFonts w:ascii="IBM Plex Sans" w:hAnsi="IBM Plex Sans"/>
          <w:b/>
          <w:bCs/>
          <w:color w:val="70AD47" w:themeColor="accent6"/>
        </w:rPr>
        <w:t>Return Types of Formula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5129"/>
      </w:tblGrid>
      <w:tr w:rsidR="00BF2E43" w:rsidRPr="00537165" w14:paraId="35C4E1B1" w14:textId="77777777" w:rsidTr="00DA62EB">
        <w:tc>
          <w:tcPr>
            <w:tcW w:w="0" w:type="auto"/>
            <w:hideMark/>
          </w:tcPr>
          <w:p w14:paraId="5BBE5F3B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537165">
              <w:rPr>
                <w:rFonts w:ascii="IBM Plex Sans" w:hAnsi="IBM Plex Sans"/>
                <w:b/>
                <w:bCs/>
              </w:rPr>
              <w:t>Return Type</w:t>
            </w:r>
          </w:p>
        </w:tc>
        <w:tc>
          <w:tcPr>
            <w:tcW w:w="0" w:type="auto"/>
            <w:hideMark/>
          </w:tcPr>
          <w:p w14:paraId="31584A4E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537165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BF2E43" w:rsidRPr="00537165" w14:paraId="721BB07D" w14:textId="77777777" w:rsidTr="00DA62EB">
        <w:tc>
          <w:tcPr>
            <w:tcW w:w="0" w:type="auto"/>
            <w:hideMark/>
          </w:tcPr>
          <w:p w14:paraId="5D130C94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Checkbox</w:t>
            </w:r>
          </w:p>
        </w:tc>
        <w:tc>
          <w:tcPr>
            <w:tcW w:w="0" w:type="auto"/>
            <w:hideMark/>
          </w:tcPr>
          <w:p w14:paraId="3ED67C55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Returns TRUE or FALSE</w:t>
            </w:r>
          </w:p>
        </w:tc>
      </w:tr>
      <w:tr w:rsidR="00BF2E43" w:rsidRPr="00537165" w14:paraId="48843922" w14:textId="77777777" w:rsidTr="00DA62EB">
        <w:tc>
          <w:tcPr>
            <w:tcW w:w="0" w:type="auto"/>
            <w:hideMark/>
          </w:tcPr>
          <w:p w14:paraId="2B4EA88B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Currency</w:t>
            </w:r>
          </w:p>
        </w:tc>
        <w:tc>
          <w:tcPr>
            <w:tcW w:w="0" w:type="auto"/>
            <w:hideMark/>
          </w:tcPr>
          <w:p w14:paraId="03A49D2A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Returns currency value and formats automatically</w:t>
            </w:r>
          </w:p>
        </w:tc>
      </w:tr>
      <w:tr w:rsidR="00BF2E43" w:rsidRPr="00537165" w14:paraId="128082C0" w14:textId="77777777" w:rsidTr="00DA62EB">
        <w:tc>
          <w:tcPr>
            <w:tcW w:w="0" w:type="auto"/>
            <w:hideMark/>
          </w:tcPr>
          <w:p w14:paraId="1390B727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31CF18ED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Returns a date value</w:t>
            </w:r>
          </w:p>
        </w:tc>
      </w:tr>
      <w:tr w:rsidR="00BF2E43" w:rsidRPr="00537165" w14:paraId="013D3441" w14:textId="77777777" w:rsidTr="00DA62EB">
        <w:tc>
          <w:tcPr>
            <w:tcW w:w="0" w:type="auto"/>
            <w:hideMark/>
          </w:tcPr>
          <w:p w14:paraId="6724B65F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Date/Time</w:t>
            </w:r>
          </w:p>
        </w:tc>
        <w:tc>
          <w:tcPr>
            <w:tcW w:w="0" w:type="auto"/>
            <w:hideMark/>
          </w:tcPr>
          <w:p w14:paraId="06754450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Returns date and time</w:t>
            </w:r>
          </w:p>
        </w:tc>
      </w:tr>
      <w:tr w:rsidR="00BF2E43" w:rsidRPr="00537165" w14:paraId="5C8D621E" w14:textId="77777777" w:rsidTr="00DA62EB">
        <w:tc>
          <w:tcPr>
            <w:tcW w:w="0" w:type="auto"/>
            <w:hideMark/>
          </w:tcPr>
          <w:p w14:paraId="240A4C8D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Number</w:t>
            </w:r>
          </w:p>
        </w:tc>
        <w:tc>
          <w:tcPr>
            <w:tcW w:w="0" w:type="auto"/>
            <w:hideMark/>
          </w:tcPr>
          <w:p w14:paraId="3A2773C6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Returns numeric value</w:t>
            </w:r>
          </w:p>
        </w:tc>
      </w:tr>
      <w:tr w:rsidR="00BF2E43" w:rsidRPr="00537165" w14:paraId="3931C9E2" w14:textId="77777777" w:rsidTr="00DA62EB">
        <w:tc>
          <w:tcPr>
            <w:tcW w:w="0" w:type="auto"/>
            <w:hideMark/>
          </w:tcPr>
          <w:p w14:paraId="36FA0D90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Percent</w:t>
            </w:r>
          </w:p>
        </w:tc>
        <w:tc>
          <w:tcPr>
            <w:tcW w:w="0" w:type="auto"/>
            <w:hideMark/>
          </w:tcPr>
          <w:p w14:paraId="31E72009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Returns percentage value</w:t>
            </w:r>
          </w:p>
        </w:tc>
      </w:tr>
      <w:tr w:rsidR="00BF2E43" w:rsidRPr="00537165" w14:paraId="19C53C62" w14:textId="77777777" w:rsidTr="00DA62EB">
        <w:tc>
          <w:tcPr>
            <w:tcW w:w="0" w:type="auto"/>
            <w:hideMark/>
          </w:tcPr>
          <w:p w14:paraId="461AB419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Text</w:t>
            </w:r>
          </w:p>
        </w:tc>
        <w:tc>
          <w:tcPr>
            <w:tcW w:w="0" w:type="auto"/>
            <w:hideMark/>
          </w:tcPr>
          <w:p w14:paraId="097C0A7D" w14:textId="77777777" w:rsidR="00BF2E43" w:rsidRPr="00537165" w:rsidRDefault="00BF2E43" w:rsidP="00537165">
            <w:pPr>
              <w:spacing w:after="160" w:line="259" w:lineRule="auto"/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Returns string or text value</w:t>
            </w:r>
          </w:p>
        </w:tc>
      </w:tr>
    </w:tbl>
    <w:p w14:paraId="248EC4E7" w14:textId="6FC90ECF" w:rsidR="00537165" w:rsidRDefault="00537165" w:rsidP="00537165">
      <w:pPr>
        <w:rPr>
          <w:rFonts w:ascii="IBM Plex Sans" w:hAnsi="IBM Plex Sans"/>
        </w:rPr>
      </w:pPr>
      <w:r w:rsidRPr="00537165">
        <w:rPr>
          <w:rFonts w:ascii="Segoe UI Emoji" w:hAnsi="Segoe UI Emoji" w:cs="Segoe UI Emoji"/>
        </w:rPr>
        <w:t>📝</w:t>
      </w:r>
      <w:r w:rsidRPr="00537165">
        <w:rPr>
          <w:rFonts w:ascii="IBM Plex Sans" w:hAnsi="IBM Plex Sans"/>
        </w:rPr>
        <w:t xml:space="preserve"> </w:t>
      </w:r>
      <w:r w:rsidRPr="00537165">
        <w:rPr>
          <w:rFonts w:ascii="IBM Plex Sans" w:hAnsi="IBM Plex Sans"/>
          <w:b/>
          <w:bCs/>
        </w:rPr>
        <w:t>Note:</w:t>
      </w:r>
      <w:r w:rsidRPr="00537165">
        <w:rPr>
          <w:rFonts w:ascii="IBM Plex Sans" w:hAnsi="IBM Plex Sans"/>
        </w:rPr>
        <w:br/>
        <w:t xml:space="preserve">The </w:t>
      </w:r>
      <w:r w:rsidRPr="00537165">
        <w:rPr>
          <w:rFonts w:ascii="IBM Plex Sans" w:hAnsi="IBM Plex Sans"/>
          <w:b/>
          <w:bCs/>
        </w:rPr>
        <w:t>expression must return the same data type</w:t>
      </w:r>
      <w:r w:rsidRPr="00537165">
        <w:rPr>
          <w:rFonts w:ascii="IBM Plex Sans" w:hAnsi="IBM Plex Sans"/>
        </w:rPr>
        <w:t xml:space="preserve"> as defined in the formula field.</w:t>
      </w:r>
    </w:p>
    <w:p w14:paraId="27F8FC61" w14:textId="77777777" w:rsidR="00BF2E43" w:rsidRPr="00537165" w:rsidRDefault="00BF2E43" w:rsidP="00537165">
      <w:pPr>
        <w:rPr>
          <w:rFonts w:ascii="IBM Plex Sans" w:hAnsi="IBM Plex Sans"/>
        </w:rPr>
      </w:pPr>
    </w:p>
    <w:p w14:paraId="14248D57" w14:textId="77777777" w:rsidR="00537165" w:rsidRPr="00BF2E43" w:rsidRDefault="00537165" w:rsidP="00537165">
      <w:pPr>
        <w:rPr>
          <w:rFonts w:ascii="IBM Plex Sans" w:hAnsi="IBM Plex Sans"/>
          <w:b/>
          <w:bCs/>
          <w:color w:val="70AD47" w:themeColor="accent6"/>
        </w:rPr>
      </w:pPr>
      <w:r w:rsidRPr="00BF2E43">
        <w:rPr>
          <w:rFonts w:ascii="IBM Plex Sans" w:hAnsi="IBM Plex Sans"/>
          <w:b/>
          <w:bCs/>
          <w:color w:val="70AD47" w:themeColor="accent6"/>
        </w:rPr>
        <w:lastRenderedPageBreak/>
        <w:t>Types of Formula Fields</w:t>
      </w:r>
    </w:p>
    <w:p w14:paraId="594EF7A7" w14:textId="77777777" w:rsidR="00537165" w:rsidRPr="00537165" w:rsidRDefault="00537165" w:rsidP="00537165">
      <w:pPr>
        <w:rPr>
          <w:rFonts w:ascii="IBM Plex Sans" w:hAnsi="IBM Plex Sans"/>
          <w:b/>
          <w:bCs/>
        </w:rPr>
      </w:pPr>
      <w:r w:rsidRPr="00537165">
        <w:rPr>
          <w:rFonts w:ascii="IBM Plex Sans" w:hAnsi="IBM Plex Sans"/>
          <w:b/>
          <w:bCs/>
        </w:rPr>
        <w:t>1. Simple Formula</w:t>
      </w:r>
    </w:p>
    <w:p w14:paraId="457FB296" w14:textId="77777777" w:rsidR="00537165" w:rsidRPr="00BF2E43" w:rsidRDefault="00537165" w:rsidP="00BF2E43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BF2E43">
        <w:rPr>
          <w:rFonts w:ascii="IBM Plex Sans" w:hAnsi="IBM Plex Sans"/>
        </w:rPr>
        <w:t xml:space="preserve">Uses fields from the </w:t>
      </w:r>
      <w:r w:rsidRPr="00BF2E43">
        <w:rPr>
          <w:rFonts w:ascii="IBM Plex Sans" w:hAnsi="IBM Plex Sans"/>
          <w:b/>
          <w:bCs/>
        </w:rPr>
        <w:t>same object</w:t>
      </w:r>
      <w:r w:rsidRPr="00BF2E43">
        <w:rPr>
          <w:rFonts w:ascii="IBM Plex Sans" w:hAnsi="IBM Plex Sans"/>
        </w:rPr>
        <w:t xml:space="preserve"> only.</w:t>
      </w:r>
    </w:p>
    <w:p w14:paraId="4EF2F411" w14:textId="1D045516" w:rsidR="00537165" w:rsidRPr="00BF2E43" w:rsidRDefault="00537165" w:rsidP="00BF2E43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BF2E43">
        <w:rPr>
          <w:rFonts w:ascii="IBM Plex Sans" w:hAnsi="IBM Plex Sans"/>
        </w:rPr>
        <w:t>Example</w:t>
      </w:r>
      <w:r w:rsidR="00BF2E43">
        <w:rPr>
          <w:rFonts w:ascii="IBM Plex Sans" w:hAnsi="IBM Plex Sans"/>
        </w:rPr>
        <w:t xml:space="preserve">: </w:t>
      </w:r>
      <w:r w:rsidRPr="00BF2E43">
        <w:rPr>
          <w:rFonts w:ascii="IBM Plex Sans" w:hAnsi="IBM Plex Sans"/>
        </w:rPr>
        <w:t>AnnualRevenue / 12</w:t>
      </w:r>
    </w:p>
    <w:p w14:paraId="598A0644" w14:textId="77777777" w:rsidR="00537165" w:rsidRPr="00537165" w:rsidRDefault="00537165" w:rsidP="00537165">
      <w:pPr>
        <w:rPr>
          <w:rFonts w:ascii="IBM Plex Sans" w:hAnsi="IBM Plex Sans"/>
          <w:b/>
          <w:bCs/>
        </w:rPr>
      </w:pPr>
      <w:r w:rsidRPr="00537165">
        <w:rPr>
          <w:rFonts w:ascii="IBM Plex Sans" w:hAnsi="IBM Plex Sans"/>
          <w:b/>
          <w:bCs/>
        </w:rPr>
        <w:t>2. Advanced Formula</w:t>
      </w:r>
    </w:p>
    <w:p w14:paraId="1F1F5398" w14:textId="77777777" w:rsidR="00537165" w:rsidRPr="00BF2E43" w:rsidRDefault="00537165" w:rsidP="00BF2E43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BF2E43">
        <w:rPr>
          <w:rFonts w:ascii="IBM Plex Sans" w:hAnsi="IBM Plex Sans"/>
        </w:rPr>
        <w:t xml:space="preserve">Uses fields from </w:t>
      </w:r>
      <w:r w:rsidRPr="00BF2E43">
        <w:rPr>
          <w:rFonts w:ascii="IBM Plex Sans" w:hAnsi="IBM Plex Sans"/>
          <w:b/>
          <w:bCs/>
        </w:rPr>
        <w:t>related objects</w:t>
      </w:r>
      <w:r w:rsidRPr="00BF2E43">
        <w:rPr>
          <w:rFonts w:ascii="IBM Plex Sans" w:hAnsi="IBM Plex Sans"/>
        </w:rPr>
        <w:t xml:space="preserve"> via relationships.</w:t>
      </w:r>
    </w:p>
    <w:p w14:paraId="0FD6AF7C" w14:textId="77777777" w:rsidR="00537165" w:rsidRPr="00BF2E43" w:rsidRDefault="00537165" w:rsidP="00BF2E43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BF2E43">
        <w:rPr>
          <w:rFonts w:ascii="IBM Plex Sans" w:hAnsi="IBM Plex Sans"/>
        </w:rPr>
        <w:t xml:space="preserve">Includes </w:t>
      </w:r>
      <w:r w:rsidRPr="00BF2E43">
        <w:rPr>
          <w:rFonts w:ascii="IBM Plex Sans" w:hAnsi="IBM Plex Sans"/>
          <w:b/>
          <w:bCs/>
        </w:rPr>
        <w:t>fields, operators, and functions</w:t>
      </w:r>
      <w:r w:rsidRPr="00BF2E43">
        <w:rPr>
          <w:rFonts w:ascii="IBM Plex Sans" w:hAnsi="IBM Plex Sans"/>
        </w:rPr>
        <w:t>.</w:t>
      </w:r>
    </w:p>
    <w:p w14:paraId="12A475D9" w14:textId="7D2B2D32" w:rsidR="00BF2E43" w:rsidRPr="00723CC6" w:rsidRDefault="00537165" w:rsidP="00537165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BF2E43">
        <w:rPr>
          <w:rFonts w:ascii="IBM Plex Sans" w:hAnsi="IBM Plex Sans"/>
        </w:rPr>
        <w:t>Example:</w:t>
      </w:r>
      <w:r w:rsidR="00BF2E43" w:rsidRPr="00BF2E43">
        <w:rPr>
          <w:rFonts w:ascii="IBM Plex Sans" w:hAnsi="IBM Plex Sans"/>
        </w:rPr>
        <w:t xml:space="preserve"> </w:t>
      </w:r>
      <w:r w:rsidRPr="00BF2E43">
        <w:rPr>
          <w:rFonts w:ascii="IBM Plex Sans" w:hAnsi="IBM Plex Sans"/>
        </w:rPr>
        <w:t>Account.AnnualRevenue * 0.1</w:t>
      </w:r>
    </w:p>
    <w:p w14:paraId="50411963" w14:textId="7C3EDCAB" w:rsidR="00537165" w:rsidRPr="00BF2E43" w:rsidRDefault="00537165" w:rsidP="00537165">
      <w:pPr>
        <w:rPr>
          <w:rFonts w:ascii="IBM Plex Sans" w:hAnsi="IBM Plex Sans"/>
          <w:b/>
          <w:bCs/>
          <w:color w:val="70AD47" w:themeColor="accent6"/>
        </w:rPr>
      </w:pPr>
      <w:r w:rsidRPr="00BF2E43">
        <w:rPr>
          <w:rFonts w:ascii="IBM Plex Sans" w:hAnsi="IBM Plex Sans"/>
          <w:b/>
          <w:bCs/>
          <w:color w:val="70AD47" w:themeColor="accent6"/>
        </w:rPr>
        <w:t>Operators Used in Formulas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963"/>
      </w:tblGrid>
      <w:tr w:rsidR="00537165" w:rsidRPr="00537165" w14:paraId="6B8D8F32" w14:textId="77777777" w:rsidTr="00BF2E43">
        <w:tc>
          <w:tcPr>
            <w:tcW w:w="0" w:type="auto"/>
            <w:hideMark/>
          </w:tcPr>
          <w:p w14:paraId="6C77BAE9" w14:textId="77777777" w:rsidR="00537165" w:rsidRPr="00537165" w:rsidRDefault="00537165" w:rsidP="00537165">
            <w:pPr>
              <w:rPr>
                <w:rFonts w:ascii="IBM Plex Sans" w:hAnsi="IBM Plex Sans"/>
                <w:b/>
                <w:bCs/>
              </w:rPr>
            </w:pPr>
            <w:r w:rsidRPr="00537165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84A7594" w14:textId="77777777" w:rsidR="00537165" w:rsidRPr="00537165" w:rsidRDefault="00537165" w:rsidP="00537165">
            <w:pPr>
              <w:rPr>
                <w:rFonts w:ascii="IBM Plex Sans" w:hAnsi="IBM Plex Sans"/>
                <w:b/>
                <w:bCs/>
              </w:rPr>
            </w:pPr>
            <w:r w:rsidRPr="00537165">
              <w:rPr>
                <w:rFonts w:ascii="IBM Plex Sans" w:hAnsi="IBM Plex Sans"/>
                <w:b/>
                <w:bCs/>
              </w:rPr>
              <w:t>Operators</w:t>
            </w:r>
          </w:p>
        </w:tc>
      </w:tr>
      <w:tr w:rsidR="00537165" w:rsidRPr="00537165" w14:paraId="00AC5037" w14:textId="77777777" w:rsidTr="00BF2E43">
        <w:tc>
          <w:tcPr>
            <w:tcW w:w="0" w:type="auto"/>
            <w:hideMark/>
          </w:tcPr>
          <w:p w14:paraId="30BB689A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Arithmetic</w:t>
            </w:r>
          </w:p>
        </w:tc>
        <w:tc>
          <w:tcPr>
            <w:tcW w:w="0" w:type="auto"/>
            <w:hideMark/>
          </w:tcPr>
          <w:p w14:paraId="20A8A41A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+, -, *, /</w:t>
            </w:r>
          </w:p>
        </w:tc>
      </w:tr>
      <w:tr w:rsidR="00537165" w:rsidRPr="00537165" w14:paraId="048E1741" w14:textId="77777777" w:rsidTr="00BF2E43">
        <w:tc>
          <w:tcPr>
            <w:tcW w:w="0" w:type="auto"/>
            <w:hideMark/>
          </w:tcPr>
          <w:p w14:paraId="6D8E0E7E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Relational</w:t>
            </w:r>
          </w:p>
        </w:tc>
        <w:tc>
          <w:tcPr>
            <w:tcW w:w="0" w:type="auto"/>
            <w:hideMark/>
          </w:tcPr>
          <w:p w14:paraId="7DCEE0AC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&lt;, &gt;, &lt;=, &gt;=, =, &lt;&gt;</w:t>
            </w:r>
          </w:p>
        </w:tc>
      </w:tr>
      <w:tr w:rsidR="00537165" w:rsidRPr="00537165" w14:paraId="651B5D28" w14:textId="77777777" w:rsidTr="00BF2E43">
        <w:tc>
          <w:tcPr>
            <w:tcW w:w="0" w:type="auto"/>
            <w:hideMark/>
          </w:tcPr>
          <w:p w14:paraId="5A1EDA53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Logical</w:t>
            </w:r>
          </w:p>
        </w:tc>
        <w:tc>
          <w:tcPr>
            <w:tcW w:w="0" w:type="auto"/>
            <w:hideMark/>
          </w:tcPr>
          <w:p w14:paraId="6CAA8774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&amp;&amp; (AND), `</w:t>
            </w:r>
          </w:p>
        </w:tc>
      </w:tr>
    </w:tbl>
    <w:p w14:paraId="65D1B6A6" w14:textId="324DEC3E" w:rsidR="00537165" w:rsidRPr="00537165" w:rsidRDefault="00537165" w:rsidP="00537165">
      <w:pPr>
        <w:rPr>
          <w:rFonts w:ascii="IBM Plex Sans" w:hAnsi="IBM Plex Sans"/>
        </w:rPr>
      </w:pPr>
    </w:p>
    <w:p w14:paraId="3958E675" w14:textId="77777777" w:rsidR="00537165" w:rsidRPr="00BF2E43" w:rsidRDefault="00537165" w:rsidP="00537165">
      <w:pPr>
        <w:rPr>
          <w:rFonts w:ascii="IBM Plex Sans" w:hAnsi="IBM Plex Sans"/>
          <w:b/>
          <w:bCs/>
          <w:color w:val="70AD47" w:themeColor="accent6"/>
        </w:rPr>
      </w:pPr>
      <w:r w:rsidRPr="00BF2E43">
        <w:rPr>
          <w:rFonts w:ascii="IBM Plex Sans" w:hAnsi="IBM Plex Sans"/>
          <w:b/>
          <w:bCs/>
          <w:color w:val="70AD47" w:themeColor="accent6"/>
        </w:rPr>
        <w:t>Common Formula Functions</w:t>
      </w:r>
    </w:p>
    <w:p w14:paraId="228DDC6A" w14:textId="77777777" w:rsidR="00537165" w:rsidRPr="00537165" w:rsidRDefault="00537165" w:rsidP="00537165">
      <w:pPr>
        <w:rPr>
          <w:rFonts w:ascii="IBM Plex Sans" w:hAnsi="IBM Plex Sans"/>
          <w:b/>
          <w:bCs/>
        </w:rPr>
      </w:pPr>
      <w:r w:rsidRPr="00537165">
        <w:rPr>
          <w:rFonts w:ascii="IBM Plex Sans" w:hAnsi="IBM Plex Sans"/>
          <w:b/>
          <w:bCs/>
        </w:rPr>
        <w:t>Logical Functions (Boolean)</w:t>
      </w:r>
    </w:p>
    <w:p w14:paraId="374D940B" w14:textId="77777777" w:rsidR="00537165" w:rsidRPr="00BF2E43" w:rsidRDefault="00537165" w:rsidP="00BF2E43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BF2E43">
        <w:rPr>
          <w:rFonts w:ascii="IBM Plex Sans" w:hAnsi="IBM Plex Sans"/>
        </w:rPr>
        <w:t>AND(), OR(), NOT()</w:t>
      </w:r>
    </w:p>
    <w:p w14:paraId="3635330D" w14:textId="77777777" w:rsidR="00537165" w:rsidRPr="00BF2E43" w:rsidRDefault="00537165" w:rsidP="00BF2E43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BF2E43">
        <w:rPr>
          <w:rFonts w:ascii="IBM Plex Sans" w:hAnsi="IBM Plex Sans"/>
        </w:rPr>
        <w:t>IF(), ISBLANK(), ISNEW(), ISNUMBER(), ISPICKVAL(), CONTAINS(), INCLUDES()</w:t>
      </w:r>
    </w:p>
    <w:p w14:paraId="31F45762" w14:textId="77777777" w:rsidR="00537165" w:rsidRPr="00537165" w:rsidRDefault="00537165" w:rsidP="00537165">
      <w:pPr>
        <w:rPr>
          <w:rFonts w:ascii="IBM Plex Sans" w:hAnsi="IBM Plex Sans"/>
          <w:b/>
          <w:bCs/>
        </w:rPr>
      </w:pPr>
      <w:r w:rsidRPr="00537165">
        <w:rPr>
          <w:rFonts w:ascii="IBM Plex Sans" w:hAnsi="IBM Plex Sans"/>
          <w:b/>
          <w:bCs/>
        </w:rPr>
        <w:t>Text Functions</w:t>
      </w:r>
    </w:p>
    <w:p w14:paraId="05C92665" w14:textId="77777777" w:rsidR="00537165" w:rsidRPr="00537165" w:rsidRDefault="00537165" w:rsidP="00537165">
      <w:pPr>
        <w:numPr>
          <w:ilvl w:val="0"/>
          <w:numId w:val="7"/>
        </w:numPr>
        <w:rPr>
          <w:rFonts w:ascii="IBM Plex Sans" w:hAnsi="IBM Plex Sans"/>
        </w:rPr>
      </w:pPr>
      <w:r w:rsidRPr="00537165">
        <w:rPr>
          <w:rFonts w:ascii="IBM Plex Sans" w:hAnsi="IBM Plex Sans"/>
        </w:rPr>
        <w:t>LEN(), TRIM(), TEXT(), UPPER(), LOWER(), VALUE(),</w:t>
      </w:r>
      <w:r w:rsidRPr="00537165">
        <w:rPr>
          <w:rFonts w:ascii="IBM Plex Sans" w:hAnsi="IBM Plex Sans"/>
        </w:rPr>
        <w:br/>
        <w:t>LEFT(), RIGHT(), HYPERLINK(), SUBSTITUTE()</w:t>
      </w:r>
    </w:p>
    <w:p w14:paraId="10D2915D" w14:textId="77777777" w:rsidR="00537165" w:rsidRPr="00537165" w:rsidRDefault="00537165" w:rsidP="00537165">
      <w:pPr>
        <w:rPr>
          <w:rFonts w:ascii="IBM Plex Sans" w:hAnsi="IBM Plex Sans"/>
          <w:b/>
          <w:bCs/>
        </w:rPr>
      </w:pPr>
      <w:r w:rsidRPr="00537165">
        <w:rPr>
          <w:rFonts w:ascii="IBM Plex Sans" w:hAnsi="IBM Plex Sans"/>
          <w:b/>
          <w:bCs/>
        </w:rPr>
        <w:t>Math Functions</w:t>
      </w:r>
    </w:p>
    <w:p w14:paraId="791F57C0" w14:textId="77777777" w:rsidR="00537165" w:rsidRPr="00537165" w:rsidRDefault="00537165" w:rsidP="00537165">
      <w:pPr>
        <w:numPr>
          <w:ilvl w:val="0"/>
          <w:numId w:val="8"/>
        </w:numPr>
        <w:rPr>
          <w:rFonts w:ascii="IBM Plex Sans" w:hAnsi="IBM Plex Sans"/>
        </w:rPr>
      </w:pPr>
      <w:r w:rsidRPr="00537165">
        <w:rPr>
          <w:rFonts w:ascii="IBM Plex Sans" w:hAnsi="IBM Plex Sans"/>
        </w:rPr>
        <w:t>ROUND(), CEILING(), FLOOR(), MAX(), MIN(), ABS()</w:t>
      </w:r>
    </w:p>
    <w:p w14:paraId="42765F14" w14:textId="77777777" w:rsidR="00537165" w:rsidRPr="00537165" w:rsidRDefault="00537165" w:rsidP="00537165">
      <w:pPr>
        <w:rPr>
          <w:rFonts w:ascii="IBM Plex Sans" w:hAnsi="IBM Plex Sans"/>
          <w:b/>
          <w:bCs/>
        </w:rPr>
      </w:pPr>
      <w:r w:rsidRPr="00537165">
        <w:rPr>
          <w:rFonts w:ascii="IBM Plex Sans" w:hAnsi="IBM Plex Sans"/>
          <w:b/>
          <w:bCs/>
        </w:rPr>
        <w:t>Date &amp; Time Functions</w:t>
      </w:r>
    </w:p>
    <w:p w14:paraId="117A3025" w14:textId="75D9258A" w:rsidR="006F6650" w:rsidRPr="00723CC6" w:rsidRDefault="00537165" w:rsidP="00537165">
      <w:pPr>
        <w:numPr>
          <w:ilvl w:val="0"/>
          <w:numId w:val="9"/>
        </w:numPr>
        <w:rPr>
          <w:rFonts w:ascii="IBM Plex Sans" w:hAnsi="IBM Plex Sans"/>
        </w:rPr>
      </w:pPr>
      <w:r w:rsidRPr="00537165">
        <w:rPr>
          <w:rFonts w:ascii="IBM Plex Sans" w:hAnsi="IBM Plex Sans"/>
        </w:rPr>
        <w:t>TODAY(), NOW(), DAY(), MONTH(), YEAR(),</w:t>
      </w:r>
      <w:r w:rsidRPr="00537165">
        <w:rPr>
          <w:rFonts w:ascii="IBM Plex Sans" w:hAnsi="IBM Plex Sans"/>
        </w:rPr>
        <w:br/>
        <w:t>DATE(), DATEVALUE(), DATETIMEVALUE(), HOUR(), MINUTE(), SECOND(), WEEKDAY()</w:t>
      </w:r>
    </w:p>
    <w:p w14:paraId="0B4B80CA" w14:textId="281A3BF0" w:rsidR="00537165" w:rsidRPr="006F6650" w:rsidRDefault="00537165" w:rsidP="00537165">
      <w:pPr>
        <w:rPr>
          <w:rFonts w:ascii="IBM Plex Sans" w:hAnsi="IBM Plex Sans"/>
          <w:b/>
          <w:bCs/>
          <w:color w:val="70AD47" w:themeColor="accent6"/>
        </w:rPr>
      </w:pPr>
      <w:r w:rsidRPr="006F6650">
        <w:rPr>
          <w:rFonts w:ascii="IBM Plex Sans" w:hAnsi="IBM Plex Sans"/>
          <w:b/>
          <w:bCs/>
          <w:color w:val="70AD47" w:themeColor="accent6"/>
        </w:rPr>
        <w:t>Limitations of Formula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7014"/>
      </w:tblGrid>
      <w:tr w:rsidR="00537165" w:rsidRPr="00537165" w14:paraId="12736A5B" w14:textId="77777777" w:rsidTr="006F6650">
        <w:tc>
          <w:tcPr>
            <w:tcW w:w="0" w:type="auto"/>
            <w:hideMark/>
          </w:tcPr>
          <w:p w14:paraId="6A988A2A" w14:textId="77777777" w:rsidR="00537165" w:rsidRPr="00537165" w:rsidRDefault="00537165" w:rsidP="00537165">
            <w:pPr>
              <w:rPr>
                <w:rFonts w:ascii="IBM Plex Sans" w:hAnsi="IBM Plex Sans"/>
                <w:b/>
                <w:bCs/>
              </w:rPr>
            </w:pPr>
            <w:r w:rsidRPr="00537165">
              <w:rPr>
                <w:rFonts w:ascii="IBM Plex Sans" w:hAnsi="IBM Plex Sans"/>
                <w:b/>
                <w:bCs/>
              </w:rPr>
              <w:t>Limitation</w:t>
            </w:r>
          </w:p>
        </w:tc>
        <w:tc>
          <w:tcPr>
            <w:tcW w:w="0" w:type="auto"/>
            <w:hideMark/>
          </w:tcPr>
          <w:p w14:paraId="78F963B7" w14:textId="77777777" w:rsidR="00537165" w:rsidRPr="00537165" w:rsidRDefault="00537165" w:rsidP="00537165">
            <w:pPr>
              <w:rPr>
                <w:rFonts w:ascii="IBM Plex Sans" w:hAnsi="IBM Plex Sans"/>
                <w:b/>
                <w:bCs/>
              </w:rPr>
            </w:pPr>
            <w:r w:rsidRPr="00537165">
              <w:rPr>
                <w:rFonts w:ascii="IBM Plex Sans" w:hAnsi="IBM Plex Sans"/>
                <w:b/>
                <w:bCs/>
              </w:rPr>
              <w:t>Details</w:t>
            </w:r>
          </w:p>
        </w:tc>
      </w:tr>
      <w:tr w:rsidR="00537165" w:rsidRPr="00537165" w14:paraId="5B13C836" w14:textId="77777777" w:rsidTr="006F6650">
        <w:tc>
          <w:tcPr>
            <w:tcW w:w="0" w:type="auto"/>
            <w:hideMark/>
          </w:tcPr>
          <w:p w14:paraId="70C3D6BC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Character Limit</w:t>
            </w:r>
          </w:p>
        </w:tc>
        <w:tc>
          <w:tcPr>
            <w:tcW w:w="0" w:type="auto"/>
            <w:hideMark/>
          </w:tcPr>
          <w:p w14:paraId="2411D48C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 xml:space="preserve">Formula field can contain up to </w:t>
            </w:r>
            <w:r w:rsidRPr="00537165">
              <w:rPr>
                <w:rFonts w:ascii="IBM Plex Sans" w:hAnsi="IBM Plex Sans"/>
                <w:b/>
                <w:bCs/>
              </w:rPr>
              <w:t>3,900 characters</w:t>
            </w:r>
            <w:r w:rsidRPr="00537165">
              <w:rPr>
                <w:rFonts w:ascii="IBM Plex Sans" w:hAnsi="IBM Plex Sans"/>
              </w:rPr>
              <w:t xml:space="preserve"> including spaces and comments.</w:t>
            </w:r>
          </w:p>
        </w:tc>
      </w:tr>
      <w:tr w:rsidR="00537165" w:rsidRPr="00537165" w14:paraId="48D0627D" w14:textId="77777777" w:rsidTr="006F6650">
        <w:tc>
          <w:tcPr>
            <w:tcW w:w="0" w:type="auto"/>
            <w:hideMark/>
          </w:tcPr>
          <w:p w14:paraId="20F4B927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Save Size Limit</w:t>
            </w:r>
          </w:p>
        </w:tc>
        <w:tc>
          <w:tcPr>
            <w:tcW w:w="0" w:type="auto"/>
            <w:hideMark/>
          </w:tcPr>
          <w:p w14:paraId="676FD878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 xml:space="preserve">Cannot exceed </w:t>
            </w:r>
            <w:r w:rsidRPr="00537165">
              <w:rPr>
                <w:rFonts w:ascii="IBM Plex Sans" w:hAnsi="IBM Plex Sans"/>
                <w:b/>
                <w:bCs/>
              </w:rPr>
              <w:t>4,000 bytes</w:t>
            </w:r>
            <w:r w:rsidRPr="00537165">
              <w:rPr>
                <w:rFonts w:ascii="IBM Plex Sans" w:hAnsi="IBM Plex Sans"/>
              </w:rPr>
              <w:t xml:space="preserve"> when saved.</w:t>
            </w:r>
          </w:p>
        </w:tc>
      </w:tr>
      <w:tr w:rsidR="00537165" w:rsidRPr="00537165" w14:paraId="23FE7FE6" w14:textId="77777777" w:rsidTr="006F6650">
        <w:tc>
          <w:tcPr>
            <w:tcW w:w="0" w:type="auto"/>
            <w:hideMark/>
          </w:tcPr>
          <w:p w14:paraId="7D5F28A7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Compile Size Limit</w:t>
            </w:r>
          </w:p>
        </w:tc>
        <w:tc>
          <w:tcPr>
            <w:tcW w:w="0" w:type="auto"/>
            <w:hideMark/>
          </w:tcPr>
          <w:p w14:paraId="46A7874D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 xml:space="preserve">Cannot exceed </w:t>
            </w:r>
            <w:r w:rsidRPr="00537165">
              <w:rPr>
                <w:rFonts w:ascii="IBM Plex Sans" w:hAnsi="IBM Plex Sans"/>
                <w:b/>
                <w:bCs/>
              </w:rPr>
              <w:t>5,000 bytes</w:t>
            </w:r>
            <w:r w:rsidRPr="00537165">
              <w:rPr>
                <w:rFonts w:ascii="IBM Plex Sans" w:hAnsi="IBM Plex Sans"/>
              </w:rPr>
              <w:t xml:space="preserve"> after compilation.</w:t>
            </w:r>
          </w:p>
        </w:tc>
      </w:tr>
      <w:tr w:rsidR="00537165" w:rsidRPr="00537165" w14:paraId="561F53F8" w14:textId="77777777" w:rsidTr="006F6650">
        <w:tc>
          <w:tcPr>
            <w:tcW w:w="0" w:type="auto"/>
            <w:hideMark/>
          </w:tcPr>
          <w:p w14:paraId="757D55BF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Field Restrictions</w:t>
            </w:r>
          </w:p>
        </w:tc>
        <w:tc>
          <w:tcPr>
            <w:tcW w:w="0" w:type="auto"/>
            <w:hideMark/>
          </w:tcPr>
          <w:p w14:paraId="644F6D41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 xml:space="preserve">Cannot reference </w:t>
            </w:r>
            <w:r w:rsidRPr="00537165">
              <w:rPr>
                <w:rFonts w:ascii="IBM Plex Sans" w:hAnsi="IBM Plex Sans"/>
                <w:b/>
                <w:bCs/>
              </w:rPr>
              <w:t>Long Text Area</w:t>
            </w:r>
            <w:r w:rsidRPr="00537165">
              <w:rPr>
                <w:rFonts w:ascii="IBM Plex Sans" w:hAnsi="IBM Plex Sans"/>
              </w:rPr>
              <w:t xml:space="preserve">, </w:t>
            </w:r>
            <w:r w:rsidRPr="00537165">
              <w:rPr>
                <w:rFonts w:ascii="IBM Plex Sans" w:hAnsi="IBM Plex Sans"/>
                <w:b/>
                <w:bCs/>
              </w:rPr>
              <w:t>Encrypted</w:t>
            </w:r>
            <w:r w:rsidRPr="00537165">
              <w:rPr>
                <w:rFonts w:ascii="IBM Plex Sans" w:hAnsi="IBM Plex Sans"/>
              </w:rPr>
              <w:t xml:space="preserve">, or </w:t>
            </w:r>
            <w:r w:rsidRPr="00537165">
              <w:rPr>
                <w:rFonts w:ascii="IBM Plex Sans" w:hAnsi="IBM Plex Sans"/>
                <w:b/>
                <w:bCs/>
              </w:rPr>
              <w:t>Description</w:t>
            </w:r>
            <w:r w:rsidRPr="00537165">
              <w:rPr>
                <w:rFonts w:ascii="IBM Plex Sans" w:hAnsi="IBM Plex Sans"/>
              </w:rPr>
              <w:t xml:space="preserve"> fields.</w:t>
            </w:r>
          </w:p>
        </w:tc>
      </w:tr>
    </w:tbl>
    <w:p w14:paraId="442B078D" w14:textId="77777777" w:rsidR="00537165" w:rsidRPr="0026273E" w:rsidRDefault="00537165">
      <w:pPr>
        <w:rPr>
          <w:rFonts w:ascii="IBM Plex Sans" w:hAnsi="IBM Plex Sans"/>
        </w:rPr>
      </w:pPr>
    </w:p>
    <w:p w14:paraId="47D01CBF" w14:textId="26821B5E" w:rsidR="006F6650" w:rsidRPr="00723CC6" w:rsidRDefault="006F6650" w:rsidP="00537165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6F6650">
        <w:rPr>
          <w:rFonts w:ascii="IBM Plex Sans" w:hAnsi="IBM Plex Sans"/>
          <w:b/>
          <w:bCs/>
          <w:color w:val="EE0000"/>
          <w:sz w:val="28"/>
          <w:szCs w:val="28"/>
        </w:rPr>
        <w:lastRenderedPageBreak/>
        <w:t>Cross-Object Formula Field</w:t>
      </w:r>
    </w:p>
    <w:p w14:paraId="3E35FEE0" w14:textId="0CA16E93" w:rsidR="00537165" w:rsidRPr="00537165" w:rsidRDefault="00537165" w:rsidP="00537165">
      <w:pPr>
        <w:rPr>
          <w:rFonts w:ascii="IBM Plex Sans" w:hAnsi="IBM Plex Sans"/>
        </w:rPr>
      </w:pPr>
      <w:r w:rsidRPr="00537165">
        <w:rPr>
          <w:rFonts w:ascii="IBM Plex Sans" w:hAnsi="IBM Plex Sans"/>
        </w:rPr>
        <w:t xml:space="preserve">A </w:t>
      </w:r>
      <w:r w:rsidRPr="00537165">
        <w:rPr>
          <w:rFonts w:ascii="IBM Plex Sans" w:hAnsi="IBM Plex Sans"/>
          <w:b/>
          <w:bCs/>
        </w:rPr>
        <w:t>Cross-Object Formula Field</w:t>
      </w:r>
      <w:r w:rsidRPr="00537165">
        <w:rPr>
          <w:rFonts w:ascii="IBM Plex Sans" w:hAnsi="IBM Plex Sans"/>
        </w:rPr>
        <w:t xml:space="preserve"> allows you to </w:t>
      </w:r>
      <w:r w:rsidRPr="00537165">
        <w:rPr>
          <w:rFonts w:ascii="IBM Plex Sans" w:hAnsi="IBM Plex Sans"/>
          <w:b/>
          <w:bCs/>
        </w:rPr>
        <w:t>reference and display data from a related parent object</w:t>
      </w:r>
      <w:r w:rsidRPr="00537165">
        <w:rPr>
          <w:rFonts w:ascii="IBM Plex Sans" w:hAnsi="IBM Plex Sans"/>
        </w:rPr>
        <w:t xml:space="preserve"> in a child object record using a formula expression.</w:t>
      </w:r>
    </w:p>
    <w:p w14:paraId="127FA208" w14:textId="77777777" w:rsidR="00537165" w:rsidRPr="005D02A1" w:rsidRDefault="00537165" w:rsidP="005D02A1">
      <w:pPr>
        <w:pStyle w:val="ListParagraph"/>
        <w:numPr>
          <w:ilvl w:val="0"/>
          <w:numId w:val="20"/>
        </w:numPr>
        <w:rPr>
          <w:rFonts w:ascii="IBM Plex Sans" w:hAnsi="IBM Plex Sans"/>
        </w:rPr>
      </w:pPr>
      <w:r w:rsidRPr="005D02A1">
        <w:rPr>
          <w:rFonts w:ascii="IBM Plex Sans" w:hAnsi="IBM Plex Sans"/>
        </w:rPr>
        <w:t xml:space="preserve">Cross-object formulas </w:t>
      </w:r>
      <w:r w:rsidRPr="005D02A1">
        <w:rPr>
          <w:rFonts w:ascii="IBM Plex Sans" w:hAnsi="IBM Plex Sans"/>
          <w:b/>
          <w:bCs/>
        </w:rPr>
        <w:t>span across two or more related objects</w:t>
      </w:r>
      <w:r w:rsidRPr="005D02A1">
        <w:rPr>
          <w:rFonts w:ascii="IBM Plex Sans" w:hAnsi="IBM Plex Sans"/>
        </w:rPr>
        <w:t>.</w:t>
      </w:r>
    </w:p>
    <w:p w14:paraId="1E4D1F14" w14:textId="77777777" w:rsidR="00537165" w:rsidRPr="005D02A1" w:rsidRDefault="00537165" w:rsidP="005D02A1">
      <w:pPr>
        <w:pStyle w:val="ListParagraph"/>
        <w:numPr>
          <w:ilvl w:val="0"/>
          <w:numId w:val="20"/>
        </w:numPr>
        <w:rPr>
          <w:rFonts w:ascii="IBM Plex Sans" w:hAnsi="IBM Plex Sans"/>
        </w:rPr>
      </w:pPr>
      <w:r w:rsidRPr="005D02A1">
        <w:rPr>
          <w:rFonts w:ascii="IBM Plex Sans" w:hAnsi="IBM Plex Sans"/>
        </w:rPr>
        <w:t xml:space="preserve">Supported for both </w:t>
      </w:r>
      <w:r w:rsidRPr="005D02A1">
        <w:rPr>
          <w:rFonts w:ascii="IBM Plex Sans" w:hAnsi="IBM Plex Sans"/>
          <w:b/>
          <w:bCs/>
        </w:rPr>
        <w:t>Master-Detail</w:t>
      </w:r>
      <w:r w:rsidRPr="005D02A1">
        <w:rPr>
          <w:rFonts w:ascii="IBM Plex Sans" w:hAnsi="IBM Plex Sans"/>
        </w:rPr>
        <w:t xml:space="preserve"> and </w:t>
      </w:r>
      <w:r w:rsidRPr="005D02A1">
        <w:rPr>
          <w:rFonts w:ascii="IBM Plex Sans" w:hAnsi="IBM Plex Sans"/>
          <w:b/>
          <w:bCs/>
        </w:rPr>
        <w:t>Lookup</w:t>
      </w:r>
      <w:r w:rsidRPr="005D02A1">
        <w:rPr>
          <w:rFonts w:ascii="IBM Plex Sans" w:hAnsi="IBM Plex Sans"/>
        </w:rPr>
        <w:t xml:space="preserve"> relationships.</w:t>
      </w:r>
    </w:p>
    <w:p w14:paraId="0FADFBF7" w14:textId="77777777" w:rsidR="00537165" w:rsidRPr="005D02A1" w:rsidRDefault="00537165" w:rsidP="005D02A1">
      <w:pPr>
        <w:pStyle w:val="ListParagraph"/>
        <w:numPr>
          <w:ilvl w:val="0"/>
          <w:numId w:val="20"/>
        </w:numPr>
        <w:rPr>
          <w:rFonts w:ascii="IBM Plex Sans" w:hAnsi="IBM Plex Sans"/>
        </w:rPr>
      </w:pPr>
      <w:r w:rsidRPr="005D02A1">
        <w:rPr>
          <w:rFonts w:ascii="IBM Plex Sans" w:hAnsi="IBM Plex Sans"/>
        </w:rPr>
        <w:t xml:space="preserve">You can </w:t>
      </w:r>
      <w:r w:rsidRPr="005D02A1">
        <w:rPr>
          <w:rFonts w:ascii="IBM Plex Sans" w:hAnsi="IBM Plex Sans"/>
          <w:b/>
          <w:bCs/>
        </w:rPr>
        <w:t>navigate up to 10 relationship levels</w:t>
      </w:r>
      <w:r w:rsidRPr="005D02A1">
        <w:rPr>
          <w:rFonts w:ascii="IBM Plex Sans" w:hAnsi="IBM Plex Sans"/>
        </w:rPr>
        <w:t xml:space="preserve"> in a single cross-object formula.</w:t>
      </w:r>
    </w:p>
    <w:p w14:paraId="565D953C" w14:textId="77777777" w:rsidR="005D02A1" w:rsidRDefault="005D02A1" w:rsidP="00537165">
      <w:pPr>
        <w:rPr>
          <w:rFonts w:ascii="Segoe UI Emoji" w:hAnsi="Segoe UI Emoji" w:cs="Segoe UI Emoji"/>
        </w:rPr>
      </w:pPr>
    </w:p>
    <w:p w14:paraId="0AD4D238" w14:textId="1651ACC4" w:rsidR="00537165" w:rsidRPr="00537165" w:rsidRDefault="00537165" w:rsidP="00537165">
      <w:pPr>
        <w:rPr>
          <w:rFonts w:ascii="IBM Plex Sans" w:hAnsi="IBM Plex Sans"/>
        </w:rPr>
      </w:pPr>
      <w:r w:rsidRPr="00537165">
        <w:rPr>
          <w:rFonts w:ascii="Segoe UI Emoji" w:hAnsi="Segoe UI Emoji" w:cs="Segoe UI Emoji"/>
        </w:rPr>
        <w:t>🚫</w:t>
      </w:r>
      <w:r w:rsidRPr="00537165">
        <w:rPr>
          <w:rFonts w:ascii="IBM Plex Sans" w:hAnsi="IBM Plex Sans"/>
        </w:rPr>
        <w:t xml:space="preserve"> </w:t>
      </w:r>
      <w:r w:rsidRPr="005D02A1">
        <w:rPr>
          <w:rFonts w:ascii="IBM Plex Sans" w:hAnsi="IBM Plex Sans"/>
          <w:b/>
          <w:bCs/>
          <w:color w:val="70AD47" w:themeColor="accent6"/>
        </w:rPr>
        <w:t>Cannot be used:</w:t>
      </w:r>
    </w:p>
    <w:p w14:paraId="219153A9" w14:textId="77777777" w:rsidR="00537165" w:rsidRPr="005D02A1" w:rsidRDefault="00537165" w:rsidP="005D02A1">
      <w:pPr>
        <w:pStyle w:val="ListParagraph"/>
        <w:numPr>
          <w:ilvl w:val="0"/>
          <w:numId w:val="21"/>
        </w:numPr>
        <w:rPr>
          <w:rFonts w:ascii="IBM Plex Sans" w:hAnsi="IBM Plex Sans"/>
        </w:rPr>
      </w:pPr>
      <w:r w:rsidRPr="005D02A1">
        <w:rPr>
          <w:rFonts w:ascii="IBM Plex Sans" w:hAnsi="IBM Plex Sans"/>
        </w:rPr>
        <w:t xml:space="preserve">To set </w:t>
      </w:r>
      <w:r w:rsidRPr="005D02A1">
        <w:rPr>
          <w:rFonts w:ascii="IBM Plex Sans" w:hAnsi="IBM Plex Sans"/>
          <w:b/>
          <w:bCs/>
        </w:rPr>
        <w:t>default field values</w:t>
      </w:r>
    </w:p>
    <w:p w14:paraId="38F82277" w14:textId="306B1000" w:rsidR="00537165" w:rsidRPr="005D02A1" w:rsidRDefault="00537165" w:rsidP="005D02A1">
      <w:pPr>
        <w:pStyle w:val="ListParagraph"/>
        <w:numPr>
          <w:ilvl w:val="0"/>
          <w:numId w:val="21"/>
        </w:numPr>
        <w:rPr>
          <w:rFonts w:ascii="IBM Plex Sans" w:hAnsi="IBM Plex Sans"/>
        </w:rPr>
      </w:pPr>
      <w:r w:rsidRPr="005D02A1">
        <w:rPr>
          <w:rFonts w:ascii="IBM Plex Sans" w:hAnsi="IBM Plex Sans"/>
        </w:rPr>
        <w:t xml:space="preserve">In </w:t>
      </w:r>
      <w:r w:rsidRPr="005D02A1">
        <w:rPr>
          <w:rFonts w:ascii="IBM Plex Sans" w:hAnsi="IBM Plex Sans"/>
          <w:b/>
          <w:bCs/>
        </w:rPr>
        <w:t>criteria-based sharing rules</w:t>
      </w:r>
      <w:r w:rsidRPr="005D02A1">
        <w:rPr>
          <w:rFonts w:ascii="IBM Plex Sans" w:hAnsi="IBM Plex Sans"/>
        </w:rPr>
        <w:t xml:space="preserve"> or </w:t>
      </w:r>
      <w:r w:rsidRPr="005D02A1">
        <w:rPr>
          <w:rFonts w:ascii="IBM Plex Sans" w:hAnsi="IBM Plex Sans"/>
          <w:b/>
          <w:bCs/>
        </w:rPr>
        <w:t>roll-up summary filters</w:t>
      </w:r>
    </w:p>
    <w:p w14:paraId="047D2AB4" w14:textId="25D0F91F" w:rsidR="00537165" w:rsidRDefault="00537165" w:rsidP="00537165">
      <w:pPr>
        <w:rPr>
          <w:rFonts w:ascii="IBM Plex Sans" w:hAnsi="IBM Plex Sans"/>
          <w:b/>
          <w:bCs/>
          <w:color w:val="70AD47" w:themeColor="accent6"/>
        </w:rPr>
      </w:pPr>
    </w:p>
    <w:p w14:paraId="30777C54" w14:textId="77777777" w:rsidR="00770A15" w:rsidRPr="00537165" w:rsidRDefault="00770A15" w:rsidP="00537165">
      <w:pPr>
        <w:rPr>
          <w:rFonts w:ascii="IBM Plex Sans" w:hAnsi="IBM Plex Sans"/>
        </w:rPr>
      </w:pPr>
    </w:p>
    <w:p w14:paraId="59BEC916" w14:textId="383787C2" w:rsidR="00537165" w:rsidRPr="00723CC6" w:rsidRDefault="00537165" w:rsidP="00537165">
      <w:pPr>
        <w:rPr>
          <w:rFonts w:ascii="IBM Plex Sans" w:hAnsi="IBM Plex Sans"/>
          <w:b/>
          <w:bCs/>
          <w:color w:val="EE0000"/>
          <w:sz w:val="28"/>
          <w:szCs w:val="28"/>
        </w:rPr>
      </w:pPr>
      <w:r w:rsidRPr="00723CC6">
        <w:rPr>
          <w:rFonts w:ascii="IBM Plex Sans" w:hAnsi="IBM Plex Sans"/>
          <w:b/>
          <w:bCs/>
          <w:color w:val="EE0000"/>
          <w:sz w:val="28"/>
          <w:szCs w:val="28"/>
        </w:rPr>
        <w:t>Roll-Up Summary Fields</w:t>
      </w:r>
    </w:p>
    <w:p w14:paraId="07354296" w14:textId="77777777" w:rsidR="00537165" w:rsidRPr="00723CC6" w:rsidRDefault="00537165" w:rsidP="00723CC6">
      <w:pPr>
        <w:rPr>
          <w:rFonts w:ascii="IBM Plex Sans" w:hAnsi="IBM Plex Sans"/>
        </w:rPr>
      </w:pPr>
      <w:r w:rsidRPr="00723CC6">
        <w:rPr>
          <w:rFonts w:ascii="IBM Plex Sans" w:hAnsi="IBM Plex Sans"/>
        </w:rPr>
        <w:t xml:space="preserve">A </w:t>
      </w:r>
      <w:r w:rsidRPr="00723CC6">
        <w:rPr>
          <w:rFonts w:ascii="IBM Plex Sans" w:hAnsi="IBM Plex Sans"/>
          <w:b/>
          <w:bCs/>
        </w:rPr>
        <w:t>Roll-Up Summary Field</w:t>
      </w:r>
      <w:r w:rsidRPr="00723CC6">
        <w:rPr>
          <w:rFonts w:ascii="IBM Plex Sans" w:hAnsi="IBM Plex Sans"/>
        </w:rPr>
        <w:t xml:space="preserve"> is a </w:t>
      </w:r>
      <w:r w:rsidRPr="00723CC6">
        <w:rPr>
          <w:rFonts w:ascii="IBM Plex Sans" w:hAnsi="IBM Plex Sans"/>
          <w:b/>
          <w:bCs/>
        </w:rPr>
        <w:t>read-only field</w:t>
      </w:r>
      <w:r w:rsidRPr="00723CC6">
        <w:rPr>
          <w:rFonts w:ascii="IBM Plex Sans" w:hAnsi="IBM Plex Sans"/>
        </w:rPr>
        <w:t xml:space="preserve"> that automatically </w:t>
      </w:r>
      <w:r w:rsidRPr="00723CC6">
        <w:rPr>
          <w:rFonts w:ascii="IBM Plex Sans" w:hAnsi="IBM Plex Sans"/>
          <w:b/>
          <w:bCs/>
        </w:rPr>
        <w:t>calculates values from related child records</w:t>
      </w:r>
      <w:r w:rsidRPr="00723CC6">
        <w:rPr>
          <w:rFonts w:ascii="IBM Plex Sans" w:hAnsi="IBM Plex Sans"/>
        </w:rPr>
        <w:t xml:space="preserve"> and displays the result on the </w:t>
      </w:r>
      <w:r w:rsidRPr="00723CC6">
        <w:rPr>
          <w:rFonts w:ascii="IBM Plex Sans" w:hAnsi="IBM Plex Sans"/>
          <w:b/>
          <w:bCs/>
        </w:rPr>
        <w:t>parent (master) record</w:t>
      </w:r>
      <w:r w:rsidRPr="00723CC6">
        <w:rPr>
          <w:rFonts w:ascii="IBM Plex Sans" w:hAnsi="IBM Plex Sans"/>
        </w:rPr>
        <w:t>.</w:t>
      </w:r>
    </w:p>
    <w:p w14:paraId="622DD5E6" w14:textId="77777777" w:rsidR="00723CC6" w:rsidRDefault="00537165" w:rsidP="00723CC6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723CC6">
        <w:rPr>
          <w:rFonts w:ascii="IBM Plex Sans" w:hAnsi="IBM Plex Sans"/>
        </w:rPr>
        <w:t xml:space="preserve">It is used to </w:t>
      </w:r>
      <w:r w:rsidRPr="00723CC6">
        <w:rPr>
          <w:rFonts w:ascii="IBM Plex Sans" w:hAnsi="IBM Plex Sans"/>
          <w:b/>
          <w:bCs/>
        </w:rPr>
        <w:t>summarize child data</w:t>
      </w:r>
      <w:r w:rsidRPr="00723CC6">
        <w:rPr>
          <w:rFonts w:ascii="IBM Plex Sans" w:hAnsi="IBM Plex Sans"/>
        </w:rPr>
        <w:t xml:space="preserve"> (like totals, counts, minimum, or maximum values) in a </w:t>
      </w:r>
      <w:r w:rsidRPr="00723CC6">
        <w:rPr>
          <w:rFonts w:ascii="IBM Plex Sans" w:hAnsi="IBM Plex Sans"/>
          <w:b/>
          <w:bCs/>
        </w:rPr>
        <w:t>Master–Detail relationship</w:t>
      </w:r>
      <w:r w:rsidRPr="00723CC6">
        <w:rPr>
          <w:rFonts w:ascii="IBM Plex Sans" w:hAnsi="IBM Plex Sans"/>
        </w:rPr>
        <w:t>.</w:t>
      </w:r>
    </w:p>
    <w:p w14:paraId="64948F19" w14:textId="77777777" w:rsidR="00723CC6" w:rsidRDefault="00537165" w:rsidP="00723CC6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723CC6">
        <w:rPr>
          <w:rFonts w:ascii="IBM Plex Sans" w:hAnsi="IBM Plex Sans"/>
        </w:rPr>
        <w:t xml:space="preserve">Available </w:t>
      </w:r>
      <w:r w:rsidRPr="00723CC6">
        <w:rPr>
          <w:rFonts w:ascii="IBM Plex Sans" w:hAnsi="IBM Plex Sans"/>
          <w:b/>
          <w:bCs/>
        </w:rPr>
        <w:t>only on the master object</w:t>
      </w:r>
      <w:r w:rsidRPr="00723CC6">
        <w:rPr>
          <w:rFonts w:ascii="IBM Plex Sans" w:hAnsi="IBM Plex Sans"/>
        </w:rPr>
        <w:t xml:space="preserve"> in a </w:t>
      </w:r>
      <w:r w:rsidRPr="00723CC6">
        <w:rPr>
          <w:rFonts w:ascii="IBM Plex Sans" w:hAnsi="IBM Plex Sans"/>
          <w:b/>
          <w:bCs/>
        </w:rPr>
        <w:t>Master–Detail relationship</w:t>
      </w:r>
      <w:r w:rsidRPr="00723CC6">
        <w:rPr>
          <w:rFonts w:ascii="IBM Plex Sans" w:hAnsi="IBM Plex Sans"/>
        </w:rPr>
        <w:t>.</w:t>
      </w:r>
    </w:p>
    <w:p w14:paraId="536D8CA7" w14:textId="778FD969" w:rsidR="00537165" w:rsidRDefault="00537165" w:rsidP="00723CC6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723CC6">
        <w:rPr>
          <w:rFonts w:ascii="IBM Plex Sans" w:hAnsi="IBM Plex Sans"/>
        </w:rPr>
        <w:t xml:space="preserve">Once a roll-up summary field is created, the relationship </w:t>
      </w:r>
      <w:r w:rsidRPr="00723CC6">
        <w:rPr>
          <w:rFonts w:ascii="IBM Plex Sans" w:hAnsi="IBM Plex Sans"/>
          <w:b/>
          <w:bCs/>
        </w:rPr>
        <w:t>cannot be changed</w:t>
      </w:r>
      <w:r w:rsidRPr="00723CC6">
        <w:rPr>
          <w:rFonts w:ascii="IBM Plex Sans" w:hAnsi="IBM Plex Sans"/>
        </w:rPr>
        <w:t xml:space="preserve"> from Master–Detail to Lookup.</w:t>
      </w:r>
    </w:p>
    <w:p w14:paraId="0DDFEF32" w14:textId="5CD1FF34" w:rsidR="00770A15" w:rsidRPr="00770A15" w:rsidRDefault="00770A15" w:rsidP="00770A15">
      <w:pPr>
        <w:numPr>
          <w:ilvl w:val="0"/>
          <w:numId w:val="22"/>
        </w:numPr>
        <w:rPr>
          <w:rFonts w:ascii="IBM Plex Sans" w:hAnsi="IBM Plex Sans"/>
        </w:rPr>
      </w:pPr>
      <w:r w:rsidRPr="0026273E">
        <w:rPr>
          <w:rFonts w:ascii="IBM Plex Sans" w:hAnsi="IBM Plex Sans"/>
        </w:rPr>
        <w:t xml:space="preserve">You can create a </w:t>
      </w:r>
      <w:r w:rsidRPr="0026273E">
        <w:rPr>
          <w:rFonts w:ascii="IBM Plex Sans" w:hAnsi="IBM Plex Sans"/>
          <w:b/>
          <w:bCs/>
        </w:rPr>
        <w:t>maximum of 25 roll-up summary fields per object</w:t>
      </w:r>
      <w:r w:rsidRPr="0026273E">
        <w:rPr>
          <w:rFonts w:ascii="IBM Plex Sans" w:hAnsi="IBM Plex Sans"/>
        </w:rPr>
        <w:t xml:space="preserve"> (limit may vary by edition).</w:t>
      </w:r>
    </w:p>
    <w:p w14:paraId="768535B0" w14:textId="77777777" w:rsidR="00723CC6" w:rsidRDefault="00723CC6" w:rsidP="00537165">
      <w:pPr>
        <w:rPr>
          <w:rFonts w:ascii="IBM Plex Sans" w:hAnsi="IBM Plex Sans"/>
          <w:b/>
          <w:bCs/>
        </w:rPr>
      </w:pPr>
    </w:p>
    <w:p w14:paraId="7A064C71" w14:textId="15BF1C26" w:rsidR="00537165" w:rsidRPr="00723CC6" w:rsidRDefault="00537165" w:rsidP="00537165">
      <w:pPr>
        <w:rPr>
          <w:rFonts w:ascii="IBM Plex Sans" w:hAnsi="IBM Plex Sans"/>
          <w:b/>
          <w:bCs/>
          <w:color w:val="70AD47" w:themeColor="accent6"/>
        </w:rPr>
      </w:pPr>
      <w:r w:rsidRPr="00723CC6">
        <w:rPr>
          <w:rFonts w:ascii="IBM Plex Sans" w:hAnsi="IBM Plex Sans"/>
          <w:b/>
          <w:bCs/>
          <w:color w:val="70AD47" w:themeColor="accent6"/>
        </w:rPr>
        <w:t>Supported Roll-Up Summary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4102"/>
        <w:gridCol w:w="3790"/>
      </w:tblGrid>
      <w:tr w:rsidR="00537165" w:rsidRPr="00537165" w14:paraId="09A4C618" w14:textId="77777777" w:rsidTr="00723CC6">
        <w:tc>
          <w:tcPr>
            <w:tcW w:w="0" w:type="auto"/>
            <w:hideMark/>
          </w:tcPr>
          <w:p w14:paraId="5EAF73B9" w14:textId="77777777" w:rsidR="00537165" w:rsidRPr="00537165" w:rsidRDefault="00537165" w:rsidP="00537165">
            <w:pPr>
              <w:rPr>
                <w:rFonts w:ascii="IBM Plex Sans" w:hAnsi="IBM Plex Sans"/>
                <w:b/>
                <w:bCs/>
              </w:rPr>
            </w:pPr>
            <w:r w:rsidRPr="00537165">
              <w:rPr>
                <w:rFonts w:ascii="IBM Plex Sans" w:hAnsi="IBM Plex Sans"/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0BF776F9" w14:textId="77777777" w:rsidR="00537165" w:rsidRPr="00537165" w:rsidRDefault="00537165" w:rsidP="00537165">
            <w:pPr>
              <w:rPr>
                <w:rFonts w:ascii="IBM Plex Sans" w:hAnsi="IBM Plex Sans"/>
                <w:b/>
                <w:bCs/>
              </w:rPr>
            </w:pPr>
            <w:r w:rsidRPr="00537165">
              <w:rPr>
                <w:rFonts w:ascii="IBM Plex Sans" w:hAnsi="IBM Plex Sans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F9BDE1D" w14:textId="77777777" w:rsidR="00537165" w:rsidRPr="00537165" w:rsidRDefault="00537165" w:rsidP="00537165">
            <w:pPr>
              <w:rPr>
                <w:rFonts w:ascii="IBM Plex Sans" w:hAnsi="IBM Plex Sans"/>
                <w:b/>
                <w:bCs/>
              </w:rPr>
            </w:pPr>
            <w:r w:rsidRPr="00537165">
              <w:rPr>
                <w:rFonts w:ascii="IBM Plex Sans" w:hAnsi="IBM Plex Sans"/>
                <w:b/>
                <w:bCs/>
              </w:rPr>
              <w:t>Example</w:t>
            </w:r>
          </w:p>
        </w:tc>
      </w:tr>
      <w:tr w:rsidR="00537165" w:rsidRPr="00537165" w14:paraId="3DAA4F0A" w14:textId="77777777" w:rsidTr="00723CC6">
        <w:tc>
          <w:tcPr>
            <w:tcW w:w="0" w:type="auto"/>
            <w:hideMark/>
          </w:tcPr>
          <w:p w14:paraId="11504C1B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COUNT</w:t>
            </w:r>
          </w:p>
        </w:tc>
        <w:tc>
          <w:tcPr>
            <w:tcW w:w="0" w:type="auto"/>
            <w:hideMark/>
          </w:tcPr>
          <w:p w14:paraId="508462ED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Counts the total number of related detail records.</w:t>
            </w:r>
          </w:p>
        </w:tc>
        <w:tc>
          <w:tcPr>
            <w:tcW w:w="0" w:type="auto"/>
            <w:hideMark/>
          </w:tcPr>
          <w:p w14:paraId="01D40401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Count how many Opportunities are related to an Account.</w:t>
            </w:r>
          </w:p>
        </w:tc>
      </w:tr>
      <w:tr w:rsidR="00537165" w:rsidRPr="00537165" w14:paraId="748DCE8F" w14:textId="77777777" w:rsidTr="00723CC6">
        <w:tc>
          <w:tcPr>
            <w:tcW w:w="0" w:type="auto"/>
            <w:hideMark/>
          </w:tcPr>
          <w:p w14:paraId="49A700B6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SUM</w:t>
            </w:r>
          </w:p>
        </w:tc>
        <w:tc>
          <w:tcPr>
            <w:tcW w:w="0" w:type="auto"/>
            <w:hideMark/>
          </w:tcPr>
          <w:p w14:paraId="26D31AF0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Calculates the total of numeric fields from related records.</w:t>
            </w:r>
          </w:p>
        </w:tc>
        <w:tc>
          <w:tcPr>
            <w:tcW w:w="0" w:type="auto"/>
            <w:hideMark/>
          </w:tcPr>
          <w:p w14:paraId="0BBD3458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Total Opportunity Amount for an Account.</w:t>
            </w:r>
          </w:p>
        </w:tc>
      </w:tr>
      <w:tr w:rsidR="00537165" w:rsidRPr="00537165" w14:paraId="0E8C36AA" w14:textId="77777777" w:rsidTr="00723CC6">
        <w:tc>
          <w:tcPr>
            <w:tcW w:w="0" w:type="auto"/>
            <w:hideMark/>
          </w:tcPr>
          <w:p w14:paraId="7F3A45CC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MIN</w:t>
            </w:r>
          </w:p>
        </w:tc>
        <w:tc>
          <w:tcPr>
            <w:tcW w:w="0" w:type="auto"/>
            <w:hideMark/>
          </w:tcPr>
          <w:p w14:paraId="79949B11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Displays the smallest (minimum) value of a field in the related list.</w:t>
            </w:r>
          </w:p>
        </w:tc>
        <w:tc>
          <w:tcPr>
            <w:tcW w:w="0" w:type="auto"/>
            <w:hideMark/>
          </w:tcPr>
          <w:p w14:paraId="550DD409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Earliest Close Date among related Opportunities.</w:t>
            </w:r>
          </w:p>
        </w:tc>
      </w:tr>
      <w:tr w:rsidR="00537165" w:rsidRPr="00537165" w14:paraId="54B48458" w14:textId="77777777" w:rsidTr="00723CC6">
        <w:tc>
          <w:tcPr>
            <w:tcW w:w="0" w:type="auto"/>
            <w:hideMark/>
          </w:tcPr>
          <w:p w14:paraId="3419BF9F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  <w:b/>
                <w:bCs/>
              </w:rPr>
              <w:t>MAX</w:t>
            </w:r>
          </w:p>
        </w:tc>
        <w:tc>
          <w:tcPr>
            <w:tcW w:w="0" w:type="auto"/>
            <w:hideMark/>
          </w:tcPr>
          <w:p w14:paraId="5AD90283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  <w:r w:rsidRPr="00537165">
              <w:rPr>
                <w:rFonts w:ascii="IBM Plex Sans" w:hAnsi="IBM Plex Sans"/>
              </w:rPr>
              <w:t>Displays the largest (maximum) value of a field in the related list.</w:t>
            </w:r>
          </w:p>
        </w:tc>
        <w:tc>
          <w:tcPr>
            <w:tcW w:w="0" w:type="auto"/>
            <w:hideMark/>
          </w:tcPr>
          <w:p w14:paraId="52424DEE" w14:textId="77777777" w:rsidR="00537165" w:rsidRPr="00537165" w:rsidRDefault="00537165" w:rsidP="00537165">
            <w:pPr>
              <w:rPr>
                <w:rFonts w:ascii="IBM Plex Sans" w:hAnsi="IBM Plex Sans"/>
              </w:rPr>
            </w:pPr>
          </w:p>
        </w:tc>
      </w:tr>
    </w:tbl>
    <w:p w14:paraId="49F20B23" w14:textId="77777777" w:rsidR="00723CC6" w:rsidRDefault="00723CC6" w:rsidP="0026273E">
      <w:pPr>
        <w:rPr>
          <w:rFonts w:ascii="IBM Plex Sans" w:hAnsi="IBM Plex Sans"/>
          <w:b/>
          <w:bCs/>
        </w:rPr>
      </w:pPr>
    </w:p>
    <w:p w14:paraId="3D998501" w14:textId="77777777" w:rsidR="00723CC6" w:rsidRDefault="00723CC6" w:rsidP="0026273E">
      <w:pPr>
        <w:rPr>
          <w:rFonts w:ascii="IBM Plex Sans" w:hAnsi="IBM Plex Sans"/>
          <w:b/>
          <w:bCs/>
        </w:rPr>
      </w:pPr>
    </w:p>
    <w:p w14:paraId="6C98DE2D" w14:textId="77777777" w:rsidR="00537165" w:rsidRPr="0026273E" w:rsidRDefault="00537165">
      <w:pPr>
        <w:rPr>
          <w:rFonts w:ascii="IBM Plex Sans" w:hAnsi="IBM Plex Sans"/>
        </w:rPr>
      </w:pPr>
    </w:p>
    <w:p w14:paraId="5B79C6C9" w14:textId="77777777" w:rsidR="00B82DBE" w:rsidRDefault="00770A15" w:rsidP="00B82DBE">
      <w:pPr>
        <w:jc w:val="center"/>
        <w:rPr>
          <w:rFonts w:ascii="IBM Plex Sans" w:hAnsi="IBM Plex Sans"/>
          <w:b/>
          <w:bCs/>
          <w:color w:val="EE0000"/>
          <w:sz w:val="28"/>
          <w:szCs w:val="28"/>
        </w:rPr>
      </w:pPr>
      <w:r w:rsidRPr="00B82DBE">
        <w:rPr>
          <w:rFonts w:ascii="IBM Plex Sans" w:hAnsi="IBM Plex Sans"/>
          <w:b/>
          <w:bCs/>
          <w:color w:val="EE0000"/>
          <w:sz w:val="28"/>
          <w:szCs w:val="28"/>
        </w:rPr>
        <w:lastRenderedPageBreak/>
        <w:t>Relationships in Salesforce</w:t>
      </w:r>
    </w:p>
    <w:p w14:paraId="0A53EDA8" w14:textId="77777777" w:rsidR="00B82DBE" w:rsidRDefault="00B82DBE" w:rsidP="00B82DBE">
      <w:pPr>
        <w:rPr>
          <w:rFonts w:ascii="IBM Plex Sans" w:hAnsi="IBM Plex Sans"/>
          <w:b/>
          <w:bCs/>
        </w:rPr>
      </w:pPr>
    </w:p>
    <w:p w14:paraId="5165C827" w14:textId="3594DD07" w:rsidR="00B82DBE" w:rsidRPr="00DD3B83" w:rsidRDefault="00B82DBE" w:rsidP="00B82DBE">
      <w:pPr>
        <w:rPr>
          <w:rFonts w:ascii="IBM Plex Sans" w:hAnsi="IBM Plex Sans"/>
          <w:color w:val="70AD47" w:themeColor="accent6"/>
          <w:sz w:val="24"/>
          <w:szCs w:val="24"/>
        </w:rPr>
      </w:pPr>
      <w:r w:rsidRPr="00B82DBE">
        <w:rPr>
          <w:rFonts w:ascii="IBM Plex Sans" w:hAnsi="IBM Plex Sans"/>
          <w:b/>
          <w:bCs/>
          <w:color w:val="70AD47" w:themeColor="accent6"/>
          <w:sz w:val="24"/>
          <w:szCs w:val="24"/>
        </w:rPr>
        <w:t>Lookup Relationship</w:t>
      </w:r>
    </w:p>
    <w:p w14:paraId="1B523390" w14:textId="44A6E32B" w:rsidR="00B82DBE" w:rsidRPr="00DD3B83" w:rsidRDefault="00B82DBE" w:rsidP="00DD3B83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Loosely Coupled:</w:t>
      </w:r>
      <w:r w:rsidRPr="00DD3B83">
        <w:rPr>
          <w:rFonts w:ascii="IBM Plex Sans" w:hAnsi="IBM Plex Sans"/>
        </w:rPr>
        <w:t xml:space="preserve"> Child records exist independently of the parent.</w:t>
      </w:r>
    </w:p>
    <w:p w14:paraId="3B90D023" w14:textId="60DA1DB8" w:rsidR="00B82DBE" w:rsidRPr="00DD3B83" w:rsidRDefault="00B82DBE" w:rsidP="00DD3B83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Roll-Up Summary:</w:t>
      </w:r>
      <w:r w:rsidRPr="00DD3B83">
        <w:rPr>
          <w:rFonts w:ascii="IBM Plex Sans" w:hAnsi="IBM Plex Sans"/>
        </w:rPr>
        <w:t xml:space="preserve"> ❌ Not available.</w:t>
      </w:r>
    </w:p>
    <w:p w14:paraId="3D8DAABA" w14:textId="22E6D4E0" w:rsidR="00B82DBE" w:rsidRPr="00DD3B83" w:rsidRDefault="00B82DBE" w:rsidP="00DD3B83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Parent Record:</w:t>
      </w:r>
      <w:r w:rsidRPr="00DD3B83">
        <w:rPr>
          <w:rFonts w:ascii="IBM Plex Sans" w:hAnsi="IBM Plex Sans"/>
        </w:rPr>
        <w:t xml:space="preserve"> Not required when creating a child record.</w:t>
      </w:r>
    </w:p>
    <w:p w14:paraId="7EDB7D81" w14:textId="5952C828" w:rsidR="00B82DBE" w:rsidRPr="00DD3B83" w:rsidRDefault="00B82DBE" w:rsidP="00DD3B83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Standard Object:</w:t>
      </w:r>
      <w:r w:rsidRPr="00DD3B83">
        <w:rPr>
          <w:rFonts w:ascii="IBM Plex Sans" w:hAnsi="IBM Plex Sans"/>
        </w:rPr>
        <w:t xml:space="preserve"> Can be on the </w:t>
      </w:r>
      <w:r w:rsidRPr="00DD3B83">
        <w:rPr>
          <w:rFonts w:ascii="IBM Plex Sans" w:hAnsi="IBM Plex Sans"/>
          <w:i/>
          <w:iCs/>
        </w:rPr>
        <w:t>detail side</w:t>
      </w:r>
      <w:r w:rsidRPr="00DD3B83">
        <w:rPr>
          <w:rFonts w:ascii="IBM Plex Sans" w:hAnsi="IBM Plex Sans"/>
        </w:rPr>
        <w:t xml:space="preserve"> of a custom object.</w:t>
      </w:r>
    </w:p>
    <w:p w14:paraId="456AB932" w14:textId="7029F919" w:rsidR="00B82DBE" w:rsidRPr="00DD3B83" w:rsidRDefault="00B82DBE" w:rsidP="00DD3B83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Record Ownership:</w:t>
      </w:r>
      <w:r w:rsidRPr="00DD3B83">
        <w:rPr>
          <w:rFonts w:ascii="IBM Plex Sans" w:hAnsi="IBM Plex Sans"/>
        </w:rPr>
        <w:t xml:space="preserve"> Child record ownership is </w:t>
      </w:r>
      <w:r w:rsidRPr="00DD3B83">
        <w:rPr>
          <w:rFonts w:ascii="IBM Plex Sans" w:hAnsi="IBM Plex Sans"/>
          <w:i/>
          <w:iCs/>
        </w:rPr>
        <w:t>independent</w:t>
      </w:r>
      <w:r w:rsidRPr="00DD3B83">
        <w:rPr>
          <w:rFonts w:ascii="IBM Plex Sans" w:hAnsi="IBM Plex Sans"/>
        </w:rPr>
        <w:t xml:space="preserve"> of the parent.</w:t>
      </w:r>
    </w:p>
    <w:p w14:paraId="2A4F8C68" w14:textId="11EB4298" w:rsidR="00B82DBE" w:rsidRPr="00DD3B83" w:rsidRDefault="00B82DBE" w:rsidP="00DD3B83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Cascade Delete:</w:t>
      </w:r>
      <w:r w:rsidRPr="00DD3B83">
        <w:rPr>
          <w:rFonts w:ascii="IBM Plex Sans" w:hAnsi="IBM Plex Sans"/>
        </w:rPr>
        <w:t xml:space="preserve"> ❌ Not supported — deleting the parent does not delete the child.</w:t>
      </w:r>
    </w:p>
    <w:p w14:paraId="48CA3212" w14:textId="761895E3" w:rsidR="00B82DBE" w:rsidRPr="00DD3B83" w:rsidRDefault="00B82DBE" w:rsidP="00DD3B83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Limit:</w:t>
      </w:r>
      <w:r w:rsidRPr="00DD3B83">
        <w:rPr>
          <w:rFonts w:ascii="IBM Plex Sans" w:hAnsi="IBM Plex Sans"/>
        </w:rPr>
        <w:t xml:space="preserve"> Up to </w:t>
      </w:r>
      <w:r w:rsidRPr="00DD3B83">
        <w:rPr>
          <w:rFonts w:ascii="IBM Plex Sans" w:hAnsi="IBM Plex Sans"/>
          <w:b/>
          <w:bCs/>
        </w:rPr>
        <w:t>40 Lookup relationships</w:t>
      </w:r>
      <w:r w:rsidRPr="00DD3B83">
        <w:rPr>
          <w:rFonts w:ascii="IBM Plex Sans" w:hAnsi="IBM Plex Sans"/>
        </w:rPr>
        <w:t xml:space="preserve"> per object.</w:t>
      </w:r>
    </w:p>
    <w:p w14:paraId="309B1890" w14:textId="479FB9AF" w:rsidR="00B82DBE" w:rsidRDefault="00B82DBE" w:rsidP="00B82DBE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Security:</w:t>
      </w:r>
      <w:r w:rsidRPr="00DD3B83">
        <w:rPr>
          <w:rFonts w:ascii="IBM Plex Sans" w:hAnsi="IBM Plex Sans"/>
        </w:rPr>
        <w:t xml:space="preserve"> No impact on parent-child sharing or access control.</w:t>
      </w:r>
    </w:p>
    <w:p w14:paraId="33D6EFA6" w14:textId="77777777" w:rsidR="00DD3B83" w:rsidRDefault="00DD3B83" w:rsidP="00B82DBE">
      <w:pPr>
        <w:rPr>
          <w:rFonts w:ascii="IBM Plex Sans" w:hAnsi="IBM Plex Sans"/>
          <w:b/>
          <w:bCs/>
          <w:color w:val="70AD47" w:themeColor="accent6"/>
        </w:rPr>
      </w:pPr>
    </w:p>
    <w:p w14:paraId="055BF277" w14:textId="3B2110C0" w:rsidR="00DD3B83" w:rsidRDefault="00DD3B83" w:rsidP="00B82DBE">
      <w:pPr>
        <w:rPr>
          <w:rFonts w:ascii="IBM Plex Sans" w:hAnsi="IBM Plex Sans"/>
          <w:b/>
          <w:bCs/>
          <w:color w:val="7030A0"/>
        </w:rPr>
      </w:pPr>
      <w:r>
        <w:rPr>
          <w:rFonts w:ascii="IBM Plex Sans" w:hAnsi="IBM Plex Sans"/>
          <w:b/>
          <w:bCs/>
          <w:color w:val="7030A0"/>
        </w:rPr>
        <w:t>Lookup Options and Lookup Filter</w:t>
      </w:r>
    </w:p>
    <w:p w14:paraId="50FE0C83" w14:textId="2C62C95E" w:rsidR="00DD3B83" w:rsidRPr="00DD3B83" w:rsidRDefault="00DD3B83" w:rsidP="00DD3B83">
      <w:pPr>
        <w:rPr>
          <w:rFonts w:ascii="IBM Plex Sans" w:hAnsi="IBM Plex Sans"/>
          <w:b/>
          <w:bCs/>
          <w:color w:val="7030A0"/>
        </w:rPr>
      </w:pPr>
      <w:r w:rsidRPr="00DD3B83">
        <w:rPr>
          <w:rFonts w:ascii="IBM Plex Sans" w:hAnsi="IBM Plex Sans"/>
          <w:b/>
          <w:bCs/>
          <w:color w:val="7030A0"/>
        </w:rPr>
        <w:drawing>
          <wp:inline distT="0" distB="0" distL="0" distR="0" wp14:anchorId="5123443F" wp14:editId="6775C711">
            <wp:extent cx="5731510" cy="4812030"/>
            <wp:effectExtent l="0" t="0" r="2540" b="7620"/>
            <wp:docPr id="1595383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8C70" w14:textId="77777777" w:rsidR="00DD3B83" w:rsidRPr="00DD3B83" w:rsidRDefault="00DD3B83" w:rsidP="00B82DBE">
      <w:pPr>
        <w:rPr>
          <w:rFonts w:ascii="IBM Plex Sans" w:hAnsi="IBM Plex Sans"/>
          <w:b/>
          <w:bCs/>
          <w:color w:val="7030A0"/>
        </w:rPr>
      </w:pPr>
    </w:p>
    <w:p w14:paraId="4CBA43BB" w14:textId="77777777" w:rsidR="00DD3B83" w:rsidRDefault="00DD3B83" w:rsidP="00B82DBE">
      <w:pPr>
        <w:rPr>
          <w:rFonts w:ascii="IBM Plex Sans" w:hAnsi="IBM Plex Sans"/>
          <w:b/>
          <w:bCs/>
          <w:color w:val="70AD47" w:themeColor="accent6"/>
        </w:rPr>
      </w:pPr>
    </w:p>
    <w:p w14:paraId="490A23C1" w14:textId="357064C7" w:rsidR="00B82DBE" w:rsidRPr="00B82DBE" w:rsidRDefault="00B82DBE" w:rsidP="00B82DBE">
      <w:pPr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B82DBE">
        <w:rPr>
          <w:rFonts w:ascii="IBM Plex Sans" w:hAnsi="IBM Plex Sans"/>
          <w:b/>
          <w:bCs/>
          <w:color w:val="70AD47" w:themeColor="accent6"/>
          <w:sz w:val="24"/>
          <w:szCs w:val="24"/>
        </w:rPr>
        <w:lastRenderedPageBreak/>
        <w:t>Master-Detail Relationship</w:t>
      </w:r>
    </w:p>
    <w:p w14:paraId="0DC96BE0" w14:textId="595786F6" w:rsidR="00B82DBE" w:rsidRPr="00DD3B83" w:rsidRDefault="00B82DBE" w:rsidP="00DD3B83">
      <w:pPr>
        <w:pStyle w:val="ListParagraph"/>
        <w:numPr>
          <w:ilvl w:val="0"/>
          <w:numId w:val="40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Strongly Coupled:</w:t>
      </w:r>
      <w:r w:rsidRPr="00DD3B83">
        <w:rPr>
          <w:rFonts w:ascii="IBM Plex Sans" w:hAnsi="IBM Plex Sans"/>
        </w:rPr>
        <w:t xml:space="preserve"> The child (detail) cannot exist without its parent (master).</w:t>
      </w:r>
    </w:p>
    <w:p w14:paraId="033C39BC" w14:textId="4C682D87" w:rsidR="00B82DBE" w:rsidRPr="00DD3B83" w:rsidRDefault="00B82DBE" w:rsidP="00DD3B83">
      <w:pPr>
        <w:pStyle w:val="ListParagraph"/>
        <w:numPr>
          <w:ilvl w:val="0"/>
          <w:numId w:val="40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Roll-Up Summary:</w:t>
      </w:r>
      <w:r w:rsidRPr="00DD3B83">
        <w:rPr>
          <w:rFonts w:ascii="IBM Plex Sans" w:hAnsi="IBM Plex Sans"/>
        </w:rPr>
        <w:t xml:space="preserve"> </w:t>
      </w:r>
      <w:r w:rsidRPr="00DD3B83">
        <w:rPr>
          <w:rFonts w:ascii="Segoe UI Emoji" w:hAnsi="Segoe UI Emoji" w:cs="Segoe UI Emoji"/>
        </w:rPr>
        <w:t>✅</w:t>
      </w:r>
      <w:r w:rsidRPr="00DD3B83">
        <w:rPr>
          <w:rFonts w:ascii="IBM Plex Sans" w:hAnsi="IBM Plex Sans"/>
        </w:rPr>
        <w:t xml:space="preserve"> Available — used to calculate SUM, MIN, MAX, COUNT on child records.</w:t>
      </w:r>
    </w:p>
    <w:p w14:paraId="387F8E1B" w14:textId="1DBD53DB" w:rsidR="00B82DBE" w:rsidRPr="00DD3B83" w:rsidRDefault="00B82DBE" w:rsidP="00DD3B83">
      <w:pPr>
        <w:pStyle w:val="ListParagraph"/>
        <w:numPr>
          <w:ilvl w:val="0"/>
          <w:numId w:val="40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Parent Record:</w:t>
      </w:r>
      <w:r w:rsidRPr="00DD3B83">
        <w:rPr>
          <w:rFonts w:ascii="IBM Plex Sans" w:hAnsi="IBM Plex Sans"/>
        </w:rPr>
        <w:t xml:space="preserve"> Required when creating a detail record.</w:t>
      </w:r>
    </w:p>
    <w:p w14:paraId="107B6D1E" w14:textId="4B424FEC" w:rsidR="00B82DBE" w:rsidRPr="00DD3B83" w:rsidRDefault="00B82DBE" w:rsidP="00DD3B83">
      <w:pPr>
        <w:pStyle w:val="ListParagraph"/>
        <w:numPr>
          <w:ilvl w:val="0"/>
          <w:numId w:val="40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Standard Object:</w:t>
      </w:r>
      <w:r w:rsidRPr="00DD3B83">
        <w:rPr>
          <w:rFonts w:ascii="IBM Plex Sans" w:hAnsi="IBM Plex Sans"/>
        </w:rPr>
        <w:t xml:space="preserve"> Cannot be the child (detail) in the relationship.</w:t>
      </w:r>
    </w:p>
    <w:p w14:paraId="6A15D111" w14:textId="1F707AE0" w:rsidR="00B82DBE" w:rsidRPr="00DD3B83" w:rsidRDefault="00B82DBE" w:rsidP="00DD3B83">
      <w:pPr>
        <w:pStyle w:val="ListParagraph"/>
        <w:numPr>
          <w:ilvl w:val="0"/>
          <w:numId w:val="40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Record Ownership:</w:t>
      </w:r>
      <w:r w:rsidRPr="00DD3B83">
        <w:rPr>
          <w:rFonts w:ascii="IBM Plex Sans" w:hAnsi="IBM Plex Sans"/>
        </w:rPr>
        <w:t xml:space="preserve"> Controlled by the parent. The </w:t>
      </w:r>
      <w:r w:rsidRPr="00DD3B83">
        <w:rPr>
          <w:rFonts w:ascii="IBM Plex Sans" w:hAnsi="IBM Plex Sans"/>
          <w:i/>
          <w:iCs/>
        </w:rPr>
        <w:t>Owner</w:t>
      </w:r>
      <w:r w:rsidRPr="00DD3B83">
        <w:rPr>
          <w:rFonts w:ascii="IBM Plex Sans" w:hAnsi="IBM Plex Sans"/>
        </w:rPr>
        <w:t xml:space="preserve"> field is hidden on the child.</w:t>
      </w:r>
    </w:p>
    <w:p w14:paraId="620269B7" w14:textId="18C9571F" w:rsidR="00B82DBE" w:rsidRPr="00DD3B83" w:rsidRDefault="00B82DBE" w:rsidP="00DD3B83">
      <w:pPr>
        <w:pStyle w:val="ListParagraph"/>
        <w:numPr>
          <w:ilvl w:val="0"/>
          <w:numId w:val="40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Sharing &amp; Access:</w:t>
      </w:r>
      <w:r w:rsidRPr="00DD3B83">
        <w:rPr>
          <w:rFonts w:ascii="IBM Plex Sans" w:hAnsi="IBM Plex Sans"/>
        </w:rPr>
        <w:t xml:space="preserve"> Determined by the parent; manual sharing not allowed for detail records.</w:t>
      </w:r>
    </w:p>
    <w:p w14:paraId="119E8AF1" w14:textId="071B93BE" w:rsidR="00B82DBE" w:rsidRPr="00DD3B83" w:rsidRDefault="00B82DBE" w:rsidP="00DD3B83">
      <w:pPr>
        <w:pStyle w:val="ListParagraph"/>
        <w:numPr>
          <w:ilvl w:val="0"/>
          <w:numId w:val="40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Cascade Delete:</w:t>
      </w:r>
      <w:r w:rsidRPr="00DD3B83">
        <w:rPr>
          <w:rFonts w:ascii="IBM Plex Sans" w:hAnsi="IBM Plex Sans"/>
        </w:rPr>
        <w:t xml:space="preserve"> </w:t>
      </w:r>
      <w:r w:rsidRPr="00DD3B83">
        <w:rPr>
          <w:rFonts w:ascii="Segoe UI Emoji" w:hAnsi="Segoe UI Emoji" w:cs="Segoe UI Emoji"/>
        </w:rPr>
        <w:t>✅</w:t>
      </w:r>
      <w:r w:rsidRPr="00DD3B83">
        <w:rPr>
          <w:rFonts w:ascii="IBM Plex Sans" w:hAnsi="IBM Plex Sans"/>
        </w:rPr>
        <w:t xml:space="preserve"> Enabled </w:t>
      </w:r>
      <w:r w:rsidRPr="00DD3B83">
        <w:rPr>
          <w:rFonts w:ascii="IBM Plex Sans" w:hAnsi="IBM Plex Sans" w:cs="IBM Plex Sans"/>
        </w:rPr>
        <w:t>—</w:t>
      </w:r>
      <w:r w:rsidRPr="00DD3B83">
        <w:rPr>
          <w:rFonts w:ascii="IBM Plex Sans" w:hAnsi="IBM Plex Sans"/>
        </w:rPr>
        <w:t xml:space="preserve"> deleting the parent deletes all related child records.</w:t>
      </w:r>
    </w:p>
    <w:p w14:paraId="5FC01F28" w14:textId="5EB0239F" w:rsidR="00B82DBE" w:rsidRDefault="00B82DBE" w:rsidP="00DD3B83">
      <w:pPr>
        <w:pStyle w:val="ListParagraph"/>
        <w:numPr>
          <w:ilvl w:val="0"/>
          <w:numId w:val="40"/>
        </w:numPr>
        <w:rPr>
          <w:rFonts w:ascii="IBM Plex Sans" w:hAnsi="IBM Plex Sans"/>
        </w:rPr>
      </w:pPr>
      <w:r w:rsidRPr="00DD3B83">
        <w:rPr>
          <w:rFonts w:ascii="IBM Plex Sans" w:hAnsi="IBM Plex Sans"/>
          <w:b/>
          <w:bCs/>
        </w:rPr>
        <w:t>Limit:</w:t>
      </w:r>
      <w:r w:rsidRPr="00DD3B83">
        <w:rPr>
          <w:rFonts w:ascii="IBM Plex Sans" w:hAnsi="IBM Plex Sans"/>
        </w:rPr>
        <w:t xml:space="preserve"> Maximum </w:t>
      </w:r>
      <w:r w:rsidRPr="00DD3B83">
        <w:rPr>
          <w:rFonts w:ascii="IBM Plex Sans" w:hAnsi="IBM Plex Sans"/>
          <w:b/>
          <w:bCs/>
        </w:rPr>
        <w:t>2 Master-Detail relationships</w:t>
      </w:r>
      <w:r w:rsidRPr="00DD3B83">
        <w:rPr>
          <w:rFonts w:ascii="IBM Plex Sans" w:hAnsi="IBM Plex Sans"/>
        </w:rPr>
        <w:t xml:space="preserve"> per custom object.</w:t>
      </w:r>
    </w:p>
    <w:p w14:paraId="68DF92C3" w14:textId="77777777" w:rsidR="00DD3B83" w:rsidRPr="00DD3B83" w:rsidRDefault="00DD3B83" w:rsidP="00DD3B83">
      <w:pPr>
        <w:pStyle w:val="ListParagraph"/>
        <w:rPr>
          <w:rFonts w:ascii="IBM Plex Sans" w:hAnsi="IBM Plex Sans"/>
        </w:rPr>
      </w:pPr>
    </w:p>
    <w:p w14:paraId="56F60DE6" w14:textId="7825F183" w:rsidR="00DD3B83" w:rsidRPr="00DD3B83" w:rsidRDefault="00DD3B83" w:rsidP="00DD3B83">
      <w:pPr>
        <w:rPr>
          <w:rFonts w:ascii="IBM Plex Sans" w:hAnsi="IBM Plex Sans"/>
          <w:b/>
          <w:bCs/>
          <w:color w:val="7030A0"/>
        </w:rPr>
      </w:pPr>
      <w:r w:rsidRPr="00DD3B83">
        <w:rPr>
          <w:rFonts w:ascii="IBM Plex Sans" w:hAnsi="IBM Plex Sans"/>
          <w:b/>
          <w:bCs/>
          <w:color w:val="7030A0"/>
        </w:rPr>
        <w:t>Master-Detail Options</w:t>
      </w:r>
    </w:p>
    <w:p w14:paraId="5C657657" w14:textId="0F5CDF7A" w:rsidR="00DD3B83" w:rsidRPr="00DD3B83" w:rsidRDefault="00DD3B83" w:rsidP="00DD3B83">
      <w:pPr>
        <w:rPr>
          <w:rFonts w:ascii="IBM Plex Sans" w:hAnsi="IBM Plex Sans"/>
        </w:rPr>
      </w:pPr>
      <w:r w:rsidRPr="00DD3B83">
        <w:rPr>
          <w:rFonts w:ascii="IBM Plex Sans" w:hAnsi="IBM Plex Sans"/>
        </w:rPr>
        <w:drawing>
          <wp:inline distT="0" distB="0" distL="0" distR="0" wp14:anchorId="629A8176" wp14:editId="4DD56A53">
            <wp:extent cx="5731510" cy="2149475"/>
            <wp:effectExtent l="0" t="0" r="2540" b="3175"/>
            <wp:docPr id="1942009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2967" w14:textId="77777777" w:rsidR="00DD3B83" w:rsidRPr="00B82DBE" w:rsidRDefault="00DD3B83" w:rsidP="00DD3B83">
      <w:pPr>
        <w:rPr>
          <w:rFonts w:ascii="IBM Plex Sans" w:hAnsi="IBM Plex Sans"/>
        </w:rPr>
      </w:pPr>
    </w:p>
    <w:p w14:paraId="55E62FD1" w14:textId="77777777" w:rsidR="00DD3B83" w:rsidRDefault="00B82DBE" w:rsidP="00B82DBE">
      <w:pPr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B82DBE">
        <w:rPr>
          <w:rFonts w:ascii="IBM Plex Sans" w:hAnsi="IBM Plex Sans"/>
          <w:b/>
          <w:bCs/>
          <w:color w:val="70AD47" w:themeColor="accent6"/>
          <w:sz w:val="24"/>
          <w:szCs w:val="24"/>
        </w:rPr>
        <w:t>Many-to-Many Relationship</w:t>
      </w:r>
    </w:p>
    <w:p w14:paraId="124B4FF1" w14:textId="77777777" w:rsidR="00CC5EF9" w:rsidRDefault="00B82DBE" w:rsidP="00B82DBE">
      <w:pPr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B82DBE">
        <w:rPr>
          <w:rFonts w:ascii="IBM Plex Sans" w:hAnsi="IBM Plex Sans"/>
        </w:rPr>
        <w:t xml:space="preserve">A </w:t>
      </w:r>
      <w:r w:rsidRPr="00B82DBE">
        <w:rPr>
          <w:rFonts w:ascii="IBM Plex Sans" w:hAnsi="IBM Plex Sans"/>
          <w:b/>
          <w:bCs/>
        </w:rPr>
        <w:t>many-to-many relationship</w:t>
      </w:r>
      <w:r w:rsidRPr="00B82DBE">
        <w:rPr>
          <w:rFonts w:ascii="IBM Plex Sans" w:hAnsi="IBM Plex Sans"/>
        </w:rPr>
        <w:t xml:space="preserve"> allows each record in one object to be associated with multiple records from another object, and vice versa.</w:t>
      </w:r>
    </w:p>
    <w:p w14:paraId="0FCA5BCE" w14:textId="6E468CA4" w:rsidR="00B82DBE" w:rsidRPr="00B82DBE" w:rsidRDefault="00B82DBE" w:rsidP="00B82DBE">
      <w:pPr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B82DBE">
        <w:rPr>
          <w:rFonts w:ascii="IBM Plex Sans" w:hAnsi="IBM Plex Sans"/>
        </w:rPr>
        <w:t xml:space="preserve">Salesforce does </w:t>
      </w:r>
      <w:r w:rsidRPr="00B82DBE">
        <w:rPr>
          <w:rFonts w:ascii="IBM Plex Sans" w:hAnsi="IBM Plex Sans"/>
          <w:b/>
          <w:bCs/>
        </w:rPr>
        <w:t>not support many-to-many relationships directly</w:t>
      </w:r>
      <w:r w:rsidRPr="00B82DBE">
        <w:rPr>
          <w:rFonts w:ascii="IBM Plex Sans" w:hAnsi="IBM Plex Sans"/>
        </w:rPr>
        <w:t xml:space="preserve"> — you create them using a </w:t>
      </w:r>
      <w:r w:rsidRPr="00B82DBE">
        <w:rPr>
          <w:rFonts w:ascii="IBM Plex Sans" w:hAnsi="IBM Plex Sans"/>
          <w:b/>
          <w:bCs/>
        </w:rPr>
        <w:t>Junction Object</w:t>
      </w:r>
      <w:r w:rsidRPr="00B82DBE">
        <w:rPr>
          <w:rFonts w:ascii="IBM Plex Sans" w:hAnsi="IBM Plex Sans"/>
        </w:rPr>
        <w:t xml:space="preserve"> that connects two Master-Detail relationships.</w:t>
      </w:r>
    </w:p>
    <w:p w14:paraId="687E74DB" w14:textId="77777777" w:rsidR="00CC5EF9" w:rsidRDefault="00CC5EF9" w:rsidP="00B82DBE">
      <w:pPr>
        <w:rPr>
          <w:rFonts w:ascii="IBM Plex Sans" w:hAnsi="IBM Plex Sans"/>
        </w:rPr>
      </w:pPr>
    </w:p>
    <w:p w14:paraId="10A5D180" w14:textId="77777777" w:rsidR="00CC5EF9" w:rsidRDefault="00B82DBE" w:rsidP="00B82DBE">
      <w:pPr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B82DBE">
        <w:rPr>
          <w:rFonts w:ascii="IBM Plex Sans" w:hAnsi="IBM Plex Sans"/>
          <w:b/>
          <w:bCs/>
          <w:color w:val="70AD47" w:themeColor="accent6"/>
          <w:sz w:val="24"/>
          <w:szCs w:val="24"/>
        </w:rPr>
        <w:t>Hierarchical Relationship</w:t>
      </w:r>
    </w:p>
    <w:p w14:paraId="028BCAFC" w14:textId="4462DCEA" w:rsidR="00B82DBE" w:rsidRPr="00B82DBE" w:rsidRDefault="00B82DBE" w:rsidP="00B82DBE">
      <w:pPr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B82DBE">
        <w:rPr>
          <w:rFonts w:ascii="IBM Plex Sans" w:hAnsi="IBM Plex Sans"/>
        </w:rPr>
        <w:t xml:space="preserve">A </w:t>
      </w:r>
      <w:r w:rsidRPr="00B82DBE">
        <w:rPr>
          <w:rFonts w:ascii="IBM Plex Sans" w:hAnsi="IBM Plex Sans"/>
          <w:b/>
          <w:bCs/>
        </w:rPr>
        <w:t>special type of Lookup Relationship</w:t>
      </w:r>
      <w:r w:rsidRPr="00B82DBE">
        <w:rPr>
          <w:rFonts w:ascii="IBM Plex Sans" w:hAnsi="IBM Plex Sans"/>
        </w:rPr>
        <w:t xml:space="preserve"> available </w:t>
      </w:r>
      <w:r w:rsidRPr="00B82DBE">
        <w:rPr>
          <w:rFonts w:ascii="IBM Plex Sans" w:hAnsi="IBM Plex Sans"/>
          <w:b/>
          <w:bCs/>
        </w:rPr>
        <w:t>only on the User object</w:t>
      </w:r>
      <w:r w:rsidRPr="00B82DBE">
        <w:rPr>
          <w:rFonts w:ascii="IBM Plex Sans" w:hAnsi="IBM Plex Sans"/>
        </w:rPr>
        <w:t>. It allows a user record to reference another user.</w:t>
      </w:r>
    </w:p>
    <w:p w14:paraId="2335EECE" w14:textId="77777777" w:rsidR="00B82DBE" w:rsidRPr="00B82DBE" w:rsidRDefault="00B82DBE" w:rsidP="00CC5EF9">
      <w:pPr>
        <w:rPr>
          <w:rFonts w:ascii="IBM Plex Sans" w:hAnsi="IBM Plex Sans"/>
        </w:rPr>
      </w:pPr>
      <w:r w:rsidRPr="00B82DBE">
        <w:rPr>
          <w:rFonts w:ascii="IBM Plex Sans" w:hAnsi="IBM Plex Sans"/>
        </w:rPr>
        <w:t xml:space="preserve">Acts as a </w:t>
      </w:r>
      <w:r w:rsidRPr="00B82DBE">
        <w:rPr>
          <w:rFonts w:ascii="IBM Plex Sans" w:hAnsi="IBM Plex Sans"/>
          <w:b/>
          <w:bCs/>
        </w:rPr>
        <w:t>self-relationship</w:t>
      </w:r>
      <w:r w:rsidRPr="00B82DBE">
        <w:rPr>
          <w:rFonts w:ascii="IBM Plex Sans" w:hAnsi="IBM Plex Sans"/>
        </w:rPr>
        <w:t xml:space="preserve"> (User ↔ User).</w:t>
      </w:r>
    </w:p>
    <w:p w14:paraId="6DE85149" w14:textId="77777777" w:rsidR="00CC5EF9" w:rsidRDefault="00CC5EF9" w:rsidP="00B82DBE">
      <w:pPr>
        <w:rPr>
          <w:rFonts w:ascii="IBM Plex Sans" w:hAnsi="IBM Plex Sans"/>
        </w:rPr>
      </w:pPr>
    </w:p>
    <w:p w14:paraId="3A11E908" w14:textId="77777777" w:rsidR="00CC5EF9" w:rsidRDefault="00CC5EF9" w:rsidP="00B82DBE">
      <w:pPr>
        <w:rPr>
          <w:rFonts w:ascii="IBM Plex Sans" w:hAnsi="IBM Plex Sans"/>
        </w:rPr>
      </w:pPr>
    </w:p>
    <w:p w14:paraId="6694571C" w14:textId="77777777" w:rsidR="00CC5EF9" w:rsidRDefault="00B82DBE" w:rsidP="00B82DBE">
      <w:pPr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B82DBE">
        <w:rPr>
          <w:rFonts w:ascii="IBM Plex Sans" w:hAnsi="IBM Plex Sans"/>
          <w:b/>
          <w:bCs/>
          <w:color w:val="70AD47" w:themeColor="accent6"/>
          <w:sz w:val="24"/>
          <w:szCs w:val="24"/>
        </w:rPr>
        <w:lastRenderedPageBreak/>
        <w:t>External Objects</w:t>
      </w:r>
    </w:p>
    <w:p w14:paraId="0CEC9F4B" w14:textId="1B67A8FA" w:rsidR="00CC5EF9" w:rsidRDefault="00B82DBE" w:rsidP="00CC5EF9">
      <w:pPr>
        <w:rPr>
          <w:rFonts w:ascii="IBM Plex Sans" w:hAnsi="IBM Plex Sans"/>
        </w:rPr>
      </w:pPr>
      <w:r w:rsidRPr="00CC5EF9">
        <w:rPr>
          <w:rFonts w:ascii="IBM Plex Sans" w:hAnsi="IBM Plex Sans"/>
          <w:b/>
          <w:bCs/>
        </w:rPr>
        <w:t>External Objects</w:t>
      </w:r>
      <w:r w:rsidRPr="00CC5EF9">
        <w:rPr>
          <w:rFonts w:ascii="IBM Plex Sans" w:hAnsi="IBM Plex Sans"/>
        </w:rPr>
        <w:t xml:space="preserve"> are similar to custom objects but map to data stored </w:t>
      </w:r>
      <w:r w:rsidRPr="00CC5EF9">
        <w:rPr>
          <w:rFonts w:ascii="IBM Plex Sans" w:hAnsi="IBM Plex Sans"/>
          <w:b/>
          <w:bCs/>
        </w:rPr>
        <w:t>outside Salesforce</w:t>
      </w:r>
      <w:r w:rsidRPr="00CC5EF9">
        <w:rPr>
          <w:rFonts w:ascii="IBM Plex Sans" w:hAnsi="IBM Plex Sans"/>
        </w:rPr>
        <w:t xml:space="preserve"> (e.g., in an external system or database).</w:t>
      </w:r>
    </w:p>
    <w:p w14:paraId="15FBF502" w14:textId="77777777" w:rsidR="00CC5EF9" w:rsidRPr="00CC5EF9" w:rsidRDefault="00B82DBE" w:rsidP="00CC5EF9">
      <w:pPr>
        <w:pStyle w:val="ListParagraph"/>
        <w:numPr>
          <w:ilvl w:val="0"/>
          <w:numId w:val="42"/>
        </w:numPr>
        <w:rPr>
          <w:rFonts w:ascii="IBM Plex Sans" w:hAnsi="IBM Plex Sans"/>
          <w:b/>
          <w:bCs/>
          <w:color w:val="000000" w:themeColor="text1"/>
          <w:sz w:val="24"/>
          <w:szCs w:val="24"/>
        </w:rPr>
      </w:pPr>
      <w:r w:rsidRPr="00CC5EF9">
        <w:rPr>
          <w:rFonts w:ascii="IBM Plex Sans" w:hAnsi="IBM Plex Sans"/>
          <w:color w:val="000000" w:themeColor="text1"/>
        </w:rPr>
        <w:t xml:space="preserve">They allow Salesforce users to </w:t>
      </w:r>
      <w:r w:rsidRPr="00CC5EF9">
        <w:rPr>
          <w:rFonts w:ascii="IBM Plex Sans" w:hAnsi="IBM Plex Sans"/>
          <w:b/>
          <w:bCs/>
          <w:color w:val="000000" w:themeColor="text1"/>
        </w:rPr>
        <w:t>view, search, and interact</w:t>
      </w:r>
      <w:r w:rsidRPr="00CC5EF9">
        <w:rPr>
          <w:rFonts w:ascii="IBM Plex Sans" w:hAnsi="IBM Plex Sans"/>
          <w:color w:val="000000" w:themeColor="text1"/>
        </w:rPr>
        <w:t xml:space="preserve"> with external data </w:t>
      </w:r>
      <w:r w:rsidRPr="00CC5EF9">
        <w:rPr>
          <w:rFonts w:ascii="IBM Plex Sans" w:hAnsi="IBM Plex Sans"/>
          <w:b/>
          <w:bCs/>
          <w:color w:val="000000" w:themeColor="text1"/>
        </w:rPr>
        <w:t>in real time</w:t>
      </w:r>
      <w:r w:rsidRPr="00CC5EF9">
        <w:rPr>
          <w:rFonts w:ascii="IBM Plex Sans" w:hAnsi="IBM Plex Sans"/>
          <w:color w:val="000000" w:themeColor="text1"/>
        </w:rPr>
        <w:t xml:space="preserve"> using Salesforce Connect, without copying it into Salesforce.</w:t>
      </w:r>
    </w:p>
    <w:p w14:paraId="05F0A87F" w14:textId="2CB16409" w:rsidR="00B82DBE" w:rsidRPr="00CC5EF9" w:rsidRDefault="00B82DBE" w:rsidP="00CC5EF9">
      <w:pPr>
        <w:pStyle w:val="ListParagraph"/>
        <w:numPr>
          <w:ilvl w:val="0"/>
          <w:numId w:val="42"/>
        </w:numPr>
        <w:rPr>
          <w:rFonts w:ascii="IBM Plex Sans" w:hAnsi="IBM Plex Sans"/>
          <w:b/>
          <w:bCs/>
          <w:color w:val="000000" w:themeColor="text1"/>
          <w:sz w:val="24"/>
          <w:szCs w:val="24"/>
        </w:rPr>
      </w:pPr>
      <w:r w:rsidRPr="00CC5EF9">
        <w:rPr>
          <w:rFonts w:ascii="IBM Plex Sans" w:hAnsi="IBM Plex Sans"/>
          <w:color w:val="000000" w:themeColor="text1"/>
        </w:rPr>
        <w:t xml:space="preserve">API name ends with </w:t>
      </w:r>
      <w:r w:rsidRPr="00CC5EF9">
        <w:rPr>
          <w:rFonts w:ascii="IBM Plex Sans" w:hAnsi="IBM Plex Sans"/>
          <w:b/>
          <w:bCs/>
          <w:color w:val="000000" w:themeColor="text1"/>
        </w:rPr>
        <w:t>__x</w:t>
      </w:r>
      <w:r w:rsidR="00CC5EF9">
        <w:rPr>
          <w:rFonts w:ascii="IBM Plex Sans" w:hAnsi="IBM Plex Sans"/>
          <w:color w:val="000000" w:themeColor="text1"/>
        </w:rPr>
        <w:t>.</w:t>
      </w:r>
    </w:p>
    <w:p w14:paraId="14166AED" w14:textId="77777777" w:rsidR="00020626" w:rsidRPr="00020626" w:rsidRDefault="00B82DBE" w:rsidP="00020626">
      <w:pPr>
        <w:pStyle w:val="ListParagraph"/>
        <w:numPr>
          <w:ilvl w:val="0"/>
          <w:numId w:val="42"/>
        </w:numPr>
        <w:rPr>
          <w:rFonts w:ascii="IBM Plex Sans" w:hAnsi="IBM Plex Sans"/>
          <w:b/>
          <w:bCs/>
          <w:color w:val="000000" w:themeColor="text1"/>
        </w:rPr>
      </w:pPr>
      <w:r w:rsidRPr="00020626">
        <w:rPr>
          <w:rFonts w:ascii="IBM Plex Sans" w:hAnsi="IBM Plex Sans"/>
          <w:color w:val="000000" w:themeColor="text1"/>
        </w:rPr>
        <w:t xml:space="preserve">An </w:t>
      </w:r>
      <w:r w:rsidRPr="00020626">
        <w:rPr>
          <w:rFonts w:ascii="IBM Plex Sans" w:hAnsi="IBM Plex Sans"/>
          <w:b/>
          <w:bCs/>
          <w:color w:val="000000" w:themeColor="text1"/>
        </w:rPr>
        <w:t>External Lookup Relationship</w:t>
      </w:r>
      <w:r w:rsidRPr="00020626">
        <w:rPr>
          <w:rFonts w:ascii="IBM Plex Sans" w:hAnsi="IBM Plex Sans"/>
          <w:color w:val="000000" w:themeColor="text1"/>
        </w:rPr>
        <w:t xml:space="preserve"> allows linking a </w:t>
      </w:r>
      <w:r w:rsidRPr="00020626">
        <w:rPr>
          <w:rFonts w:ascii="IBM Plex Sans" w:hAnsi="IBM Plex Sans"/>
          <w:b/>
          <w:bCs/>
          <w:color w:val="000000" w:themeColor="text1"/>
        </w:rPr>
        <w:t>child standard, custom, or external object</w:t>
      </w:r>
      <w:r w:rsidRPr="00020626">
        <w:rPr>
          <w:rFonts w:ascii="IBM Plex Sans" w:hAnsi="IBM Plex Sans"/>
          <w:color w:val="000000" w:themeColor="text1"/>
        </w:rPr>
        <w:t xml:space="preserve"> with a </w:t>
      </w:r>
      <w:r w:rsidRPr="00020626">
        <w:rPr>
          <w:rFonts w:ascii="IBM Plex Sans" w:hAnsi="IBM Plex Sans"/>
          <w:b/>
          <w:bCs/>
          <w:color w:val="000000" w:themeColor="text1"/>
        </w:rPr>
        <w:t>parent external object</w:t>
      </w:r>
      <w:r w:rsidRPr="00020626">
        <w:rPr>
          <w:rFonts w:ascii="IBM Plex Sans" w:hAnsi="IBM Plex Sans"/>
          <w:color w:val="000000" w:themeColor="text1"/>
        </w:rPr>
        <w:t>.</w:t>
      </w:r>
    </w:p>
    <w:p w14:paraId="395C0ABF" w14:textId="37B42212" w:rsidR="00B82DBE" w:rsidRPr="00020626" w:rsidRDefault="00B82DBE" w:rsidP="00020626">
      <w:pPr>
        <w:pStyle w:val="ListParagraph"/>
        <w:numPr>
          <w:ilvl w:val="0"/>
          <w:numId w:val="42"/>
        </w:numPr>
        <w:rPr>
          <w:rFonts w:ascii="IBM Plex Sans" w:hAnsi="IBM Plex Sans"/>
          <w:b/>
          <w:bCs/>
          <w:color w:val="000000" w:themeColor="text1"/>
        </w:rPr>
      </w:pPr>
      <w:r w:rsidRPr="00020626">
        <w:rPr>
          <w:rFonts w:ascii="IBM Plex Sans" w:hAnsi="IBM Plex Sans"/>
          <w:color w:val="000000" w:themeColor="text1"/>
        </w:rPr>
        <w:t xml:space="preserve">An </w:t>
      </w:r>
      <w:r w:rsidRPr="00020626">
        <w:rPr>
          <w:rFonts w:ascii="IBM Plex Sans" w:hAnsi="IBM Plex Sans"/>
          <w:b/>
          <w:bCs/>
          <w:color w:val="000000" w:themeColor="text1"/>
        </w:rPr>
        <w:t>Indirect Lookup Relationship</w:t>
      </w:r>
      <w:r w:rsidRPr="00020626">
        <w:rPr>
          <w:rFonts w:ascii="IBM Plex Sans" w:hAnsi="IBM Plex Sans"/>
          <w:color w:val="000000" w:themeColor="text1"/>
        </w:rPr>
        <w:t xml:space="preserve"> allows linking a </w:t>
      </w:r>
      <w:r w:rsidRPr="00020626">
        <w:rPr>
          <w:rFonts w:ascii="IBM Plex Sans" w:hAnsi="IBM Plex Sans"/>
          <w:b/>
          <w:bCs/>
          <w:color w:val="000000" w:themeColor="text1"/>
        </w:rPr>
        <w:t>child external object</w:t>
      </w:r>
      <w:r w:rsidRPr="00020626">
        <w:rPr>
          <w:rFonts w:ascii="IBM Plex Sans" w:hAnsi="IBM Plex Sans"/>
          <w:color w:val="000000" w:themeColor="text1"/>
        </w:rPr>
        <w:t xml:space="preserve"> with a </w:t>
      </w:r>
      <w:r w:rsidRPr="00020626">
        <w:rPr>
          <w:rFonts w:ascii="IBM Plex Sans" w:hAnsi="IBM Plex Sans"/>
          <w:b/>
          <w:bCs/>
          <w:color w:val="000000" w:themeColor="text1"/>
        </w:rPr>
        <w:t>parent standard or custom object</w:t>
      </w:r>
      <w:r w:rsidRPr="00020626">
        <w:rPr>
          <w:rFonts w:ascii="IBM Plex Sans" w:hAnsi="IBM Plex Sans"/>
          <w:color w:val="000000" w:themeColor="text1"/>
        </w:rPr>
        <w:t xml:space="preserve"> inside Salesforce.</w:t>
      </w:r>
    </w:p>
    <w:p w14:paraId="5142942D" w14:textId="3D6CEB78" w:rsidR="00B82DBE" w:rsidRPr="00B82DBE" w:rsidRDefault="00B82DBE" w:rsidP="00B82DBE">
      <w:pPr>
        <w:rPr>
          <w:rFonts w:ascii="IBM Plex Sans" w:hAnsi="IBM Plex Sans"/>
          <w:b/>
          <w:bCs/>
          <w:color w:val="7030A0"/>
        </w:rPr>
      </w:pPr>
      <w:r w:rsidRPr="00B82DBE">
        <w:rPr>
          <w:rFonts w:ascii="IBM Plex Sans" w:hAnsi="IBM Plex Sans"/>
          <w:b/>
          <w:bCs/>
          <w:color w:val="7030A0"/>
        </w:rPr>
        <w:t>External IDs</w:t>
      </w:r>
    </w:p>
    <w:p w14:paraId="023B7451" w14:textId="087C47A5" w:rsidR="00B82DBE" w:rsidRPr="00B82DBE" w:rsidRDefault="00B82DBE" w:rsidP="00B82DBE">
      <w:pPr>
        <w:rPr>
          <w:rFonts w:ascii="IBM Plex Sans" w:hAnsi="IBM Plex Sans"/>
        </w:rPr>
      </w:pPr>
      <w:r w:rsidRPr="00B82DBE">
        <w:rPr>
          <w:rFonts w:ascii="IBM Plex Sans" w:hAnsi="IBM Plex Sans"/>
        </w:rPr>
        <w:t xml:space="preserve">An </w:t>
      </w:r>
      <w:r w:rsidRPr="00B82DBE">
        <w:rPr>
          <w:rFonts w:ascii="IBM Plex Sans" w:hAnsi="IBM Plex Sans"/>
          <w:b/>
          <w:bCs/>
        </w:rPr>
        <w:t>External ID</w:t>
      </w:r>
      <w:r w:rsidRPr="00B82DBE">
        <w:rPr>
          <w:rFonts w:ascii="IBM Plex Sans" w:hAnsi="IBM Plex Sans"/>
        </w:rPr>
        <w:t xml:space="preserve"> is a custom field that stores a </w:t>
      </w:r>
      <w:r w:rsidRPr="00B82DBE">
        <w:rPr>
          <w:rFonts w:ascii="IBM Plex Sans" w:hAnsi="IBM Plex Sans"/>
          <w:b/>
          <w:bCs/>
        </w:rPr>
        <w:t>unique identifier</w:t>
      </w:r>
      <w:r w:rsidRPr="00B82DBE">
        <w:rPr>
          <w:rFonts w:ascii="IBM Plex Sans" w:hAnsi="IBM Plex Sans"/>
        </w:rPr>
        <w:t xml:space="preserve"> for a record coming from an </w:t>
      </w:r>
      <w:r w:rsidRPr="00B82DBE">
        <w:rPr>
          <w:rFonts w:ascii="IBM Plex Sans" w:hAnsi="IBM Plex Sans"/>
          <w:b/>
          <w:bCs/>
        </w:rPr>
        <w:t>external system</w:t>
      </w:r>
      <w:r w:rsidRPr="00B82DBE">
        <w:rPr>
          <w:rFonts w:ascii="IBM Plex Sans" w:hAnsi="IBM Plex Sans"/>
        </w:rPr>
        <w:t xml:space="preserve"> (e.g., ERP, SAP, or legacy database).</w:t>
      </w:r>
    </w:p>
    <w:p w14:paraId="22E880D5" w14:textId="77777777" w:rsidR="00B82DBE" w:rsidRPr="00020626" w:rsidRDefault="00B82DBE" w:rsidP="00020626">
      <w:pPr>
        <w:pStyle w:val="ListParagraph"/>
        <w:numPr>
          <w:ilvl w:val="0"/>
          <w:numId w:val="43"/>
        </w:numPr>
        <w:rPr>
          <w:rFonts w:ascii="IBM Plex Sans" w:hAnsi="IBM Plex Sans"/>
        </w:rPr>
      </w:pPr>
      <w:r w:rsidRPr="00020626">
        <w:rPr>
          <w:rFonts w:ascii="IBM Plex Sans" w:hAnsi="IBM Plex Sans"/>
        </w:rPr>
        <w:t xml:space="preserve">Commonly used in </w:t>
      </w:r>
      <w:r w:rsidRPr="00020626">
        <w:rPr>
          <w:rFonts w:ascii="IBM Plex Sans" w:hAnsi="IBM Plex Sans"/>
          <w:b/>
          <w:bCs/>
        </w:rPr>
        <w:t>data import</w:t>
      </w:r>
      <w:r w:rsidRPr="00020626">
        <w:rPr>
          <w:rFonts w:ascii="IBM Plex Sans" w:hAnsi="IBM Plex Sans"/>
        </w:rPr>
        <w:t xml:space="preserve"> and </w:t>
      </w:r>
      <w:r w:rsidRPr="00020626">
        <w:rPr>
          <w:rFonts w:ascii="IBM Plex Sans" w:hAnsi="IBM Plex Sans"/>
          <w:b/>
          <w:bCs/>
        </w:rPr>
        <w:t>integration</w:t>
      </w:r>
      <w:r w:rsidRPr="00020626">
        <w:rPr>
          <w:rFonts w:ascii="IBM Plex Sans" w:hAnsi="IBM Plex Sans"/>
        </w:rPr>
        <w:t xml:space="preserve"> scenarios.</w:t>
      </w:r>
    </w:p>
    <w:p w14:paraId="0813E8EC" w14:textId="4F8F571A" w:rsidR="00B82DBE" w:rsidRPr="00020626" w:rsidRDefault="00B82DBE" w:rsidP="00020626">
      <w:pPr>
        <w:pStyle w:val="ListParagraph"/>
        <w:numPr>
          <w:ilvl w:val="0"/>
          <w:numId w:val="43"/>
        </w:numPr>
        <w:rPr>
          <w:rFonts w:ascii="IBM Plex Sans" w:hAnsi="IBM Plex Sans"/>
        </w:rPr>
      </w:pPr>
      <w:r w:rsidRPr="00020626">
        <w:rPr>
          <w:rFonts w:ascii="Segoe UI Emoji" w:hAnsi="Segoe UI Emoji" w:cs="Segoe UI Emoji"/>
        </w:rPr>
        <w:t>✅</w:t>
      </w:r>
      <w:r w:rsidRPr="00020626">
        <w:rPr>
          <w:rFonts w:ascii="IBM Plex Sans" w:hAnsi="IBM Plex Sans"/>
        </w:rPr>
        <w:t xml:space="preserve"> Must be of type </w:t>
      </w:r>
      <w:r w:rsidRPr="00020626">
        <w:rPr>
          <w:rFonts w:ascii="IBM Plex Sans" w:hAnsi="IBM Plex Sans"/>
          <w:b/>
          <w:bCs/>
        </w:rPr>
        <w:t>Text</w:t>
      </w:r>
      <w:r w:rsidRPr="00020626">
        <w:rPr>
          <w:rFonts w:ascii="IBM Plex Sans" w:hAnsi="IBM Plex Sans"/>
        </w:rPr>
        <w:t xml:space="preserve">, </w:t>
      </w:r>
      <w:r w:rsidRPr="00020626">
        <w:rPr>
          <w:rFonts w:ascii="IBM Plex Sans" w:hAnsi="IBM Plex Sans"/>
          <w:b/>
          <w:bCs/>
        </w:rPr>
        <w:t>Number</w:t>
      </w:r>
      <w:r w:rsidRPr="00020626">
        <w:rPr>
          <w:rFonts w:ascii="IBM Plex Sans" w:hAnsi="IBM Plex Sans"/>
        </w:rPr>
        <w:t xml:space="preserve">, or </w:t>
      </w:r>
      <w:r w:rsidRPr="00020626">
        <w:rPr>
          <w:rFonts w:ascii="IBM Plex Sans" w:hAnsi="IBM Plex Sans"/>
          <w:b/>
          <w:bCs/>
        </w:rPr>
        <w:t>Email</w:t>
      </w:r>
      <w:r w:rsidRPr="00020626">
        <w:rPr>
          <w:rFonts w:ascii="IBM Plex Sans" w:hAnsi="IBM Plex Sans"/>
        </w:rPr>
        <w:t>.</w:t>
      </w:r>
    </w:p>
    <w:p w14:paraId="3F5385CA" w14:textId="77777777" w:rsidR="00B82DBE" w:rsidRPr="00020626" w:rsidRDefault="00B82DBE" w:rsidP="00020626">
      <w:pPr>
        <w:pStyle w:val="ListParagraph"/>
        <w:numPr>
          <w:ilvl w:val="0"/>
          <w:numId w:val="43"/>
        </w:numPr>
        <w:rPr>
          <w:rFonts w:ascii="IBM Plex Sans" w:hAnsi="IBM Plex Sans"/>
        </w:rPr>
      </w:pPr>
      <w:r w:rsidRPr="00020626">
        <w:rPr>
          <w:rFonts w:ascii="IBM Plex Sans" w:hAnsi="IBM Plex Sans"/>
        </w:rPr>
        <w:t xml:space="preserve">You can create up to </w:t>
      </w:r>
      <w:r w:rsidRPr="00020626">
        <w:rPr>
          <w:rFonts w:ascii="IBM Plex Sans" w:hAnsi="IBM Plex Sans"/>
          <w:b/>
          <w:bCs/>
        </w:rPr>
        <w:t>25 External ID fields per object</w:t>
      </w:r>
      <w:r w:rsidRPr="00020626">
        <w:rPr>
          <w:rFonts w:ascii="IBM Plex Sans" w:hAnsi="IBM Plex Sans"/>
        </w:rPr>
        <w:t>.</w:t>
      </w:r>
    </w:p>
    <w:p w14:paraId="7E5FFDE4" w14:textId="77777777" w:rsidR="00B82DBE" w:rsidRPr="00020626" w:rsidRDefault="00B82DBE" w:rsidP="00020626">
      <w:pPr>
        <w:pStyle w:val="ListParagraph"/>
        <w:numPr>
          <w:ilvl w:val="0"/>
          <w:numId w:val="43"/>
        </w:numPr>
        <w:rPr>
          <w:rFonts w:ascii="IBM Plex Sans" w:hAnsi="IBM Plex Sans"/>
        </w:rPr>
      </w:pPr>
      <w:r w:rsidRPr="00020626">
        <w:rPr>
          <w:rFonts w:ascii="IBM Plex Sans" w:hAnsi="IBM Plex Sans"/>
        </w:rPr>
        <w:t xml:space="preserve">External ID fields can be </w:t>
      </w:r>
      <w:r w:rsidRPr="00020626">
        <w:rPr>
          <w:rFonts w:ascii="IBM Plex Sans" w:hAnsi="IBM Plex Sans"/>
          <w:b/>
          <w:bCs/>
        </w:rPr>
        <w:t>unique</w:t>
      </w:r>
      <w:r w:rsidRPr="00020626">
        <w:rPr>
          <w:rFonts w:ascii="IBM Plex Sans" w:hAnsi="IBM Plex Sans"/>
        </w:rPr>
        <w:t xml:space="preserve"> and </w:t>
      </w:r>
      <w:r w:rsidRPr="00020626">
        <w:rPr>
          <w:rFonts w:ascii="IBM Plex Sans" w:hAnsi="IBM Plex Sans"/>
          <w:b/>
          <w:bCs/>
        </w:rPr>
        <w:t>case-sensitive</w:t>
      </w:r>
      <w:r w:rsidRPr="00020626">
        <w:rPr>
          <w:rFonts w:ascii="IBM Plex Sans" w:hAnsi="IBM Plex Sans"/>
        </w:rPr>
        <w:t>.</w:t>
      </w:r>
    </w:p>
    <w:p w14:paraId="133CEBCA" w14:textId="77777777" w:rsidR="00B82DBE" w:rsidRPr="0026273E" w:rsidRDefault="00B82DBE">
      <w:pPr>
        <w:rPr>
          <w:rFonts w:ascii="IBM Plex Sans" w:hAnsi="IBM Plex Sans"/>
        </w:rPr>
      </w:pPr>
    </w:p>
    <w:sectPr w:rsidR="00B82DBE" w:rsidRPr="0026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A57"/>
    <w:multiLevelType w:val="multilevel"/>
    <w:tmpl w:val="E92C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218E0"/>
    <w:multiLevelType w:val="hybridMultilevel"/>
    <w:tmpl w:val="0BFE4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87A9E"/>
    <w:multiLevelType w:val="multilevel"/>
    <w:tmpl w:val="B93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6402F"/>
    <w:multiLevelType w:val="multilevel"/>
    <w:tmpl w:val="302C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C0872"/>
    <w:multiLevelType w:val="multilevel"/>
    <w:tmpl w:val="3FB2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706AC"/>
    <w:multiLevelType w:val="multilevel"/>
    <w:tmpl w:val="3C90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80F81"/>
    <w:multiLevelType w:val="hybridMultilevel"/>
    <w:tmpl w:val="0B1E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01D44"/>
    <w:multiLevelType w:val="hybridMultilevel"/>
    <w:tmpl w:val="9BF82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06EBE"/>
    <w:multiLevelType w:val="multilevel"/>
    <w:tmpl w:val="80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36F4C"/>
    <w:multiLevelType w:val="multilevel"/>
    <w:tmpl w:val="EE3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54209"/>
    <w:multiLevelType w:val="hybridMultilevel"/>
    <w:tmpl w:val="3CD87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A47EC"/>
    <w:multiLevelType w:val="multilevel"/>
    <w:tmpl w:val="FC2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B74AA"/>
    <w:multiLevelType w:val="multilevel"/>
    <w:tmpl w:val="C91E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E2DEE"/>
    <w:multiLevelType w:val="multilevel"/>
    <w:tmpl w:val="5CF8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90D2E"/>
    <w:multiLevelType w:val="multilevel"/>
    <w:tmpl w:val="897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D3618"/>
    <w:multiLevelType w:val="hybridMultilevel"/>
    <w:tmpl w:val="F37C8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205FE"/>
    <w:multiLevelType w:val="hybridMultilevel"/>
    <w:tmpl w:val="1EDE7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2265B"/>
    <w:multiLevelType w:val="multilevel"/>
    <w:tmpl w:val="40B4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31B70"/>
    <w:multiLevelType w:val="multilevel"/>
    <w:tmpl w:val="A30C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3A4E"/>
    <w:multiLevelType w:val="multilevel"/>
    <w:tmpl w:val="1B14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077BB"/>
    <w:multiLevelType w:val="multilevel"/>
    <w:tmpl w:val="0C3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E6585"/>
    <w:multiLevelType w:val="multilevel"/>
    <w:tmpl w:val="DFBC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50ABB"/>
    <w:multiLevelType w:val="multilevel"/>
    <w:tmpl w:val="A23C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03179"/>
    <w:multiLevelType w:val="multilevel"/>
    <w:tmpl w:val="63FC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372E9"/>
    <w:multiLevelType w:val="hybridMultilevel"/>
    <w:tmpl w:val="5212D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F5D30"/>
    <w:multiLevelType w:val="hybridMultilevel"/>
    <w:tmpl w:val="825A4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910BF"/>
    <w:multiLevelType w:val="multilevel"/>
    <w:tmpl w:val="2A4A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103A6"/>
    <w:multiLevelType w:val="hybridMultilevel"/>
    <w:tmpl w:val="3EB65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3506A"/>
    <w:multiLevelType w:val="multilevel"/>
    <w:tmpl w:val="7C4A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93690"/>
    <w:multiLevelType w:val="multilevel"/>
    <w:tmpl w:val="D04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705FA"/>
    <w:multiLevelType w:val="hybridMultilevel"/>
    <w:tmpl w:val="DA92B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369B9"/>
    <w:multiLevelType w:val="multilevel"/>
    <w:tmpl w:val="5D6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16BF5"/>
    <w:multiLevelType w:val="hybridMultilevel"/>
    <w:tmpl w:val="6818C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80F98"/>
    <w:multiLevelType w:val="multilevel"/>
    <w:tmpl w:val="BC28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23386D"/>
    <w:multiLevelType w:val="multilevel"/>
    <w:tmpl w:val="F7FA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6B604E"/>
    <w:multiLevelType w:val="multilevel"/>
    <w:tmpl w:val="BFB2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4C1C35"/>
    <w:multiLevelType w:val="multilevel"/>
    <w:tmpl w:val="A902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FD2168"/>
    <w:multiLevelType w:val="multilevel"/>
    <w:tmpl w:val="97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DA32E4"/>
    <w:multiLevelType w:val="multilevel"/>
    <w:tmpl w:val="482A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97750"/>
    <w:multiLevelType w:val="hybridMultilevel"/>
    <w:tmpl w:val="08C4B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9536B"/>
    <w:multiLevelType w:val="multilevel"/>
    <w:tmpl w:val="F3A2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26599E"/>
    <w:multiLevelType w:val="hybridMultilevel"/>
    <w:tmpl w:val="A524F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846E5A"/>
    <w:multiLevelType w:val="hybridMultilevel"/>
    <w:tmpl w:val="8912E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473274">
    <w:abstractNumId w:val="21"/>
  </w:num>
  <w:num w:numId="2" w16cid:durableId="1720401767">
    <w:abstractNumId w:val="11"/>
  </w:num>
  <w:num w:numId="3" w16cid:durableId="894043197">
    <w:abstractNumId w:val="19"/>
  </w:num>
  <w:num w:numId="4" w16cid:durableId="1745294245">
    <w:abstractNumId w:val="3"/>
  </w:num>
  <w:num w:numId="5" w16cid:durableId="1533613686">
    <w:abstractNumId w:val="23"/>
  </w:num>
  <w:num w:numId="6" w16cid:durableId="1395162710">
    <w:abstractNumId w:val="18"/>
  </w:num>
  <w:num w:numId="7" w16cid:durableId="570968553">
    <w:abstractNumId w:val="0"/>
  </w:num>
  <w:num w:numId="8" w16cid:durableId="2085949014">
    <w:abstractNumId w:val="12"/>
  </w:num>
  <w:num w:numId="9" w16cid:durableId="1937251661">
    <w:abstractNumId w:val="14"/>
  </w:num>
  <w:num w:numId="10" w16cid:durableId="553084982">
    <w:abstractNumId w:val="22"/>
  </w:num>
  <w:num w:numId="11" w16cid:durableId="195584271">
    <w:abstractNumId w:val="31"/>
  </w:num>
  <w:num w:numId="12" w16cid:durableId="348064469">
    <w:abstractNumId w:val="9"/>
  </w:num>
  <w:num w:numId="13" w16cid:durableId="636223709">
    <w:abstractNumId w:val="40"/>
  </w:num>
  <w:num w:numId="14" w16cid:durableId="20595695">
    <w:abstractNumId w:val="30"/>
  </w:num>
  <w:num w:numId="15" w16cid:durableId="4751271">
    <w:abstractNumId w:val="1"/>
  </w:num>
  <w:num w:numId="16" w16cid:durableId="709838286">
    <w:abstractNumId w:val="16"/>
  </w:num>
  <w:num w:numId="17" w16cid:durableId="282930869">
    <w:abstractNumId w:val="7"/>
  </w:num>
  <w:num w:numId="18" w16cid:durableId="649017949">
    <w:abstractNumId w:val="24"/>
  </w:num>
  <w:num w:numId="19" w16cid:durableId="1337004544">
    <w:abstractNumId w:val="15"/>
  </w:num>
  <w:num w:numId="20" w16cid:durableId="174465221">
    <w:abstractNumId w:val="25"/>
  </w:num>
  <w:num w:numId="21" w16cid:durableId="1805195215">
    <w:abstractNumId w:val="6"/>
  </w:num>
  <w:num w:numId="22" w16cid:durableId="1028947960">
    <w:abstractNumId w:val="10"/>
  </w:num>
  <w:num w:numId="23" w16cid:durableId="1948737311">
    <w:abstractNumId w:val="8"/>
  </w:num>
  <w:num w:numId="24" w16cid:durableId="269242066">
    <w:abstractNumId w:val="37"/>
  </w:num>
  <w:num w:numId="25" w16cid:durableId="362707482">
    <w:abstractNumId w:val="13"/>
  </w:num>
  <w:num w:numId="26" w16cid:durableId="370807874">
    <w:abstractNumId w:val="5"/>
  </w:num>
  <w:num w:numId="27" w16cid:durableId="2125229318">
    <w:abstractNumId w:val="28"/>
  </w:num>
  <w:num w:numId="28" w16cid:durableId="577522235">
    <w:abstractNumId w:val="26"/>
  </w:num>
  <w:num w:numId="29" w16cid:durableId="1013263817">
    <w:abstractNumId w:val="35"/>
  </w:num>
  <w:num w:numId="30" w16cid:durableId="1181578850">
    <w:abstractNumId w:val="17"/>
  </w:num>
  <w:num w:numId="31" w16cid:durableId="2108043159">
    <w:abstractNumId w:val="29"/>
  </w:num>
  <w:num w:numId="32" w16cid:durableId="1788543122">
    <w:abstractNumId w:val="36"/>
  </w:num>
  <w:num w:numId="33" w16cid:durableId="1298993302">
    <w:abstractNumId w:val="4"/>
  </w:num>
  <w:num w:numId="34" w16cid:durableId="121773772">
    <w:abstractNumId w:val="2"/>
  </w:num>
  <w:num w:numId="35" w16cid:durableId="373577801">
    <w:abstractNumId w:val="38"/>
  </w:num>
  <w:num w:numId="36" w16cid:durableId="150947503">
    <w:abstractNumId w:val="20"/>
  </w:num>
  <w:num w:numId="37" w16cid:durableId="1743526015">
    <w:abstractNumId w:val="34"/>
  </w:num>
  <w:num w:numId="38" w16cid:durableId="427392545">
    <w:abstractNumId w:val="33"/>
  </w:num>
  <w:num w:numId="39" w16cid:durableId="1573393305">
    <w:abstractNumId w:val="39"/>
  </w:num>
  <w:num w:numId="40" w16cid:durableId="1581940016">
    <w:abstractNumId w:val="27"/>
  </w:num>
  <w:num w:numId="41" w16cid:durableId="1985504749">
    <w:abstractNumId w:val="42"/>
  </w:num>
  <w:num w:numId="42" w16cid:durableId="37708798">
    <w:abstractNumId w:val="32"/>
  </w:num>
  <w:num w:numId="43" w16cid:durableId="84000337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AD"/>
    <w:rsid w:val="00020626"/>
    <w:rsid w:val="00074A60"/>
    <w:rsid w:val="0026273E"/>
    <w:rsid w:val="0044526E"/>
    <w:rsid w:val="00537165"/>
    <w:rsid w:val="00545BAC"/>
    <w:rsid w:val="005D02A1"/>
    <w:rsid w:val="00651AFE"/>
    <w:rsid w:val="006B70AD"/>
    <w:rsid w:val="006F6650"/>
    <w:rsid w:val="00723CC6"/>
    <w:rsid w:val="00770A15"/>
    <w:rsid w:val="00842856"/>
    <w:rsid w:val="00B82DBE"/>
    <w:rsid w:val="00BB0EE2"/>
    <w:rsid w:val="00BF2E43"/>
    <w:rsid w:val="00CC5EF9"/>
    <w:rsid w:val="00DA62EB"/>
    <w:rsid w:val="00D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A9CD"/>
  <w15:chartTrackingRefBased/>
  <w15:docId w15:val="{75D3CE44-CE5B-463B-8858-034EBE6C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0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9</cp:revision>
  <dcterms:created xsi:type="dcterms:W3CDTF">2025-10-09T15:11:00Z</dcterms:created>
  <dcterms:modified xsi:type="dcterms:W3CDTF">2025-10-11T08:31:00Z</dcterms:modified>
</cp:coreProperties>
</file>