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TH Sarabun New" w:hAnsi="TH Sarabun New" w:eastAsia="TH Sarabun New"/>
          <w:b w:val="0"/>
          <w:color w:val="212121"/>
          <w:sz w:val="32"/>
        </w:rPr>
        <w:t>ที่ รพ. 11855/......</w:t>
      </w:r>
    </w:p>
    <w:p>
      <w:pPr>
        <w:spacing w:before="0" w:after="0"/>
        <w:jc w:val="right"/>
      </w:pPr>
      <w:r>
        <w:rPr>
          <w:rFonts w:ascii="TH Sarabun New" w:hAnsi="TH Sarabun New" w:eastAsia="TH Sarabun New"/>
          <w:b w:val="0"/>
          <w:color w:val="212121"/>
          <w:sz w:val="32"/>
        </w:rPr>
        <w:t>โรงพยาบาลพญาไทศรีราชา</w:t>
        <w:br/>
        <w:t>จังหวัดชลบุรี</w:t>
      </w:r>
    </w:p>
    <w:p>
      <w:pPr>
        <w:spacing w:before="0" w:after="240"/>
        <w:jc w:val="right"/>
      </w:pPr>
      <w:r>
        <w:rPr>
          <w:rFonts w:ascii="TH Sarabun New" w:hAnsi="TH Sarabun New" w:eastAsia="TH Sarabun New"/>
          <w:b w:val="0"/>
          <w:color w:val="212121"/>
          <w:sz w:val="32"/>
        </w:rPr>
        <w:t>วันที่ ...... ................. 2569</w:t>
      </w:r>
    </w:p>
    <w:p>
      <w:pPr>
        <w:spacing w:before="0" w:after="80"/>
        <w:jc w:val="left"/>
      </w:pPr>
      <w:r>
        <w:rPr>
          <w:rFonts w:ascii="TH Sarabun New" w:hAnsi="TH Sarabun New" w:eastAsia="TH Sarabun New"/>
          <w:b/>
          <w:color w:val="212121"/>
          <w:sz w:val="32"/>
        </w:rPr>
        <w:t xml:space="preserve">เรื่อง  </w:t>
      </w:r>
      <w:r>
        <w:rPr>
          <w:rFonts w:ascii="TH Sarabun New" w:hAnsi="TH Sarabun New" w:eastAsia="TH Sarabun New"/>
          <w:b w:val="0"/>
          <w:color w:val="212121"/>
          <w:sz w:val="32"/>
        </w:rPr>
        <w:t>ขอทบทวนผลการตรวจสอบการให้บริการหัตถการสวนหัวใจและหลอดเลือด (V993)</w:t>
      </w:r>
    </w:p>
    <w:p>
      <w:pPr>
        <w:spacing w:before="0" w:after="240"/>
        <w:jc w:val="left"/>
      </w:pPr>
      <w:r>
        <w:rPr>
          <w:rFonts w:ascii="TH Sarabun New" w:hAnsi="TH Sarabun New" w:eastAsia="TH Sarabun New"/>
          <w:b/>
          <w:color w:val="212121"/>
          <w:sz w:val="32"/>
        </w:rPr>
        <w:t xml:space="preserve">เรียน  </w:t>
      </w:r>
      <w:r>
        <w:rPr>
          <w:rFonts w:ascii="TH Sarabun New" w:hAnsi="TH Sarabun New" w:eastAsia="TH Sarabun New"/>
          <w:b w:val="0"/>
          <w:color w:val="212121"/>
          <w:sz w:val="32"/>
        </w:rPr>
        <w:t>ผู้อำนวยการสำนักงานหลักประกันสุขภาพแห่งชาติ เขต 6 ระยอง</w:t>
      </w:r>
    </w:p>
    <w:p>
      <w:pPr>
        <w:spacing w:before="0" w:after="240"/>
        <w:ind w:firstLine="1417"/>
        <w:jc w:val="left"/>
      </w:pPr>
      <w:r>
        <w:rPr>
          <w:rFonts w:ascii="TH Sarabun New" w:hAnsi="TH Sarabun New" w:eastAsia="TH Sarabun New"/>
          <w:b w:val="0"/>
          <w:color w:val="212121"/>
          <w:sz w:val="32"/>
        </w:rPr>
        <w:t>ตามที่โรงพยาบาลพญาไทศรีราชา รหัสหน่วยบริการ 11855 ได้ให้บริการหัตถการสวนหัวใจและหลอดเลือดแก่ผู้ป่วยรายต่อไปนี้ และได้รับแจ้งว่าไม่ผ่านการตรวจสอบ Pre-Authorization (V993) ทั้งนี้ ขอชี้แจงดังนี้</w:t>
      </w:r>
    </w:p>
    <w:p>
      <w:pPr>
        <w:spacing w:before="80" w:after="80"/>
        <w:jc w:val="left"/>
      </w:pPr>
      <w:r>
        <w:rPr>
          <w:rFonts w:ascii="TH Sarabun New" w:hAnsi="TH Sarabun New" w:eastAsia="TH Sarabun New"/>
          <w:b/>
          <w:color w:val="212121"/>
          <w:sz w:val="32"/>
        </w:rPr>
        <w:t>ข้อมูลผู้ป่วย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2835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/>
                <w:color w:val="616161"/>
                <w:sz w:val="28"/>
              </w:rPr>
              <w:t>ชื่อ-สกุล</w:t>
            </w:r>
          </w:p>
        </w:tc>
        <w:tc>
          <w:tcPr>
            <w:tcW w:type="dxa" w:w="5953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8"/>
              </w:rPr>
              <w:t>ทองมา ทองมาก</w:t>
            </w:r>
          </w:p>
        </w:tc>
      </w:tr>
      <w:tr>
        <w:tc>
          <w:tcPr>
            <w:tcW w:type="dxa" w:w="2835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/>
                <w:color w:val="616161"/>
                <w:sz w:val="28"/>
              </w:rPr>
              <w:t>เลขประจำตัวประชาชน</w:t>
            </w:r>
          </w:p>
        </w:tc>
        <w:tc>
          <w:tcPr>
            <w:tcW w:type="dxa" w:w="5953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8"/>
              </w:rPr>
              <w:t>3200400117731</w:t>
            </w:r>
          </w:p>
        </w:tc>
      </w:tr>
      <w:tr>
        <w:tc>
          <w:tcPr>
            <w:tcW w:type="dxa" w:w="2835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/>
                <w:color w:val="616161"/>
                <w:sz w:val="28"/>
              </w:rPr>
              <w:t>เพศ / อายุ</w:t>
            </w:r>
          </w:p>
        </w:tc>
        <w:tc>
          <w:tcPr>
            <w:tcW w:type="dxa" w:w="5953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8"/>
              </w:rPr>
              <w:t>หญิง / 75 ปี</w:t>
            </w:r>
          </w:p>
        </w:tc>
      </w:tr>
      <w:tr>
        <w:tc>
          <w:tcPr>
            <w:tcW w:type="dxa" w:w="2835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/>
                <w:color w:val="616161"/>
                <w:sz w:val="28"/>
              </w:rPr>
              <w:t>วันที่รับเข้า</w:t>
            </w:r>
          </w:p>
        </w:tc>
        <w:tc>
          <w:tcPr>
            <w:tcW w:type="dxa" w:w="5953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8"/>
              </w:rPr>
              <w:t>08/01/2568</w:t>
            </w:r>
          </w:p>
        </w:tc>
      </w:tr>
      <w:tr>
        <w:tc>
          <w:tcPr>
            <w:tcW w:type="dxa" w:w="2835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/>
                <w:color w:val="616161"/>
                <w:sz w:val="28"/>
              </w:rPr>
              <w:t>ประเภท</w:t>
            </w:r>
          </w:p>
        </w:tc>
        <w:tc>
          <w:tcPr>
            <w:tcW w:type="dxa" w:w="5953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8"/>
              </w:rPr>
              <w:t>C2</w:t>
            </w:r>
          </w:p>
        </w:tc>
      </w:tr>
      <w:tr>
        <w:tc>
          <w:tcPr>
            <w:tcW w:type="dxa" w:w="2835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/>
                <w:color w:val="616161"/>
                <w:sz w:val="28"/>
              </w:rPr>
              <w:t>CAG</w:t>
            </w:r>
          </w:p>
        </w:tc>
        <w:tc>
          <w:tcPr>
            <w:tcW w:type="dxa" w:w="5953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8"/>
              </w:rPr>
              <w:t>ไม่ผ่าน (08/01/2568)</w:t>
            </w:r>
          </w:p>
        </w:tc>
      </w:tr>
      <w:tr>
        <w:tc>
          <w:tcPr>
            <w:tcW w:type="dxa" w:w="2835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/>
                <w:color w:val="616161"/>
                <w:sz w:val="28"/>
              </w:rPr>
              <w:t>PCI</w:t>
            </w:r>
          </w:p>
        </w:tc>
        <w:tc>
          <w:tcPr>
            <w:tcW w:type="dxa" w:w="5953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8"/>
              </w:rPr>
              <w:t>ไม่ผ่าน (08/01/2568)</w:t>
            </w:r>
          </w:p>
        </w:tc>
      </w:tr>
      <w:tr>
        <w:tc>
          <w:tcPr>
            <w:tcW w:type="dxa" w:w="2835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/>
                <w:color w:val="616161"/>
                <w:sz w:val="28"/>
              </w:rPr>
              <w:t>เหตุผลที่ไม่ผ่าน</w:t>
            </w:r>
          </w:p>
        </w:tc>
        <w:tc>
          <w:tcPr>
            <w:tcW w:type="dxa" w:w="5953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8"/>
              </w:rPr>
              <w:t>NSTE-ACS: nste-acs case with cardiogenic shock, routine multivessel pci of non-culprit lesions in the same setting.  should not be performed.,</w:t>
            </w:r>
          </w:p>
        </w:tc>
      </w:tr>
    </w:tbl>
    <w:p/>
    <w:p>
      <w:pPr>
        <w:spacing w:before="240" w:after="160"/>
        <w:jc w:val="left"/>
      </w:pPr>
      <w:r>
        <w:rPr>
          <w:rFonts w:ascii="TH Sarabun New" w:hAnsi="TH Sarabun New" w:eastAsia="TH Sarabun New"/>
          <w:b/>
          <w:color w:val="212121"/>
          <w:sz w:val="32"/>
        </w:rPr>
        <w:t>ข้อชี้แจง</w:t>
      </w:r>
    </w:p>
    <w:p>
      <w:pPr>
        <w:spacing w:before="0" w:after="120"/>
        <w:ind w:firstLine="1417"/>
        <w:jc w:val="left"/>
      </w:pPr>
      <w:r>
        <w:rPr>
          <w:rFonts w:ascii="TH Sarabun New" w:hAnsi="TH Sarabun New" w:eastAsia="TH Sarabun New"/>
          <w:b w:val="0"/>
          <w:color w:val="212121"/>
          <w:sz w:val="32"/>
        </w:rPr>
        <w:t>1. ผู้ป่วยรายนี้มาด้วยภาวะ NSTE-ACS ร่วมกับ cardiogenic shock มี hemodynamic instability ที่รุนแรง (MAP [ระบุ], Lactate [ระบุ], vasopressor requirement)</w:t>
      </w:r>
    </w:p>
    <w:p>
      <w:pPr>
        <w:spacing w:before="0" w:after="120"/>
        <w:ind w:firstLine="1417"/>
        <w:jc w:val="left"/>
      </w:pPr>
      <w:r>
        <w:rPr>
          <w:rFonts w:ascii="TH Sarabun New" w:hAnsi="TH Sarabun New" w:eastAsia="TH Sarabun New"/>
          <w:b w:val="0"/>
          <w:color w:val="212121"/>
          <w:sz w:val="32"/>
        </w:rPr>
        <w:t>2. จากการประเมิน coronary angiography พบ multivessel disease ที่รุนแรง ทีม interventional cardiologist ประเมินแล้วว่าการทำ complete revascularization มีความจำเป็นเพื่อ hemodynamic support และ survival benefit</w:t>
      </w:r>
    </w:p>
    <w:p>
      <w:pPr>
        <w:spacing w:before="0" w:after="120"/>
        <w:ind w:firstLine="1417"/>
        <w:jc w:val="left"/>
      </w:pPr>
      <w:r>
        <w:rPr>
          <w:rFonts w:ascii="TH Sarabun New" w:hAnsi="TH Sarabun New" w:eastAsia="TH Sarabun New"/>
          <w:b w:val="0"/>
          <w:color w:val="212121"/>
          <w:sz w:val="32"/>
        </w:rPr>
        <w:t>3. อ้างอิง ACC/AHA 2021 Guideline ข้อ 7.3.2 ที่ระบุว่า complete revascularization อาจพิจารณาใน selected patients with cardiogenic shock เมื่อ operator มีประสบการณ์ และผู้ป่วยมี favorable anatomy</w:t>
      </w:r>
    </w:p>
    <w:p>
      <w:pPr>
        <w:spacing w:before="0" w:after="120"/>
        <w:ind w:firstLine="1417"/>
        <w:jc w:val="left"/>
      </w:pPr>
      <w:r>
        <w:rPr>
          <w:rFonts w:ascii="TH Sarabun New" w:hAnsi="TH Sarabun New" w:eastAsia="TH Sarabun New"/>
          <w:b w:val="0"/>
          <w:color w:val="212121"/>
          <w:sz w:val="32"/>
        </w:rPr>
        <w:t>4. ดังปรากฏตาม hemodynamic data และ cath report แนบ</w:t>
      </w:r>
    </w:p>
    <w:p>
      <w:pPr>
        <w:spacing w:before="240" w:after="80"/>
        <w:jc w:val="left"/>
      </w:pPr>
      <w:r>
        <w:rPr>
          <w:rFonts w:ascii="TH Sarabun New" w:hAnsi="TH Sarabun New" w:eastAsia="TH Sarabun New"/>
          <w:b/>
          <w:color w:val="212121"/>
          <w:sz w:val="32"/>
        </w:rPr>
        <w:t>อ้างอิงแนวทางเวชปฏิบัติ</w:t>
      </w:r>
    </w:p>
    <w:p>
      <w:pPr>
        <w:spacing w:before="0" w:after="160"/>
        <w:ind w:firstLine="1417"/>
        <w:jc w:val="left"/>
      </w:pPr>
      <w:r>
        <w:rPr>
          <w:rFonts w:ascii="TH Sarabun New" w:hAnsi="TH Sarabun New" w:eastAsia="TH Sarabun New"/>
          <w:b w:val="0"/>
          <w:color w:val="212121"/>
          <w:sz w:val="32"/>
        </w:rPr>
        <w:t>CULPRIT-SHOCK Trial 2017: culprit-only PCI preferred in cardiogenic shock. แต่ ACC/AHA 2021: complete revasc อาจ consider ใน selected cases</w:t>
      </w:r>
    </w:p>
    <w:p>
      <w:pPr>
        <w:spacing w:before="240" w:after="80"/>
        <w:jc w:val="left"/>
      </w:pPr>
      <w:r>
        <w:rPr>
          <w:rFonts w:ascii="TH Sarabun New" w:hAnsi="TH Sarabun New" w:eastAsia="TH Sarabun New"/>
          <w:b/>
          <w:color w:val="212121"/>
          <w:sz w:val="32"/>
        </w:rPr>
        <w:t>เอกสารแนบ:</w:t>
      </w:r>
    </w:p>
    <w:p>
      <w:pPr>
        <w:pStyle w:val="ListNumber"/>
        <w:spacing w:after="40"/>
      </w:pPr>
      <w:r>
        <w:rPr>
          <w:rFonts w:ascii="TH Sarabun New" w:hAnsi="TH Sarabun New" w:eastAsia="TH Sarabun New"/>
          <w:b w:val="0"/>
          <w:color w:val="212121"/>
          <w:sz w:val="32"/>
        </w:rPr>
        <w:t>สำเนาเวชระเบียนผู้ป่วย</w:t>
      </w:r>
    </w:p>
    <w:p>
      <w:pPr>
        <w:pStyle w:val="ListNumber"/>
        <w:spacing w:after="40"/>
      </w:pPr>
      <w:r>
        <w:rPr>
          <w:rFonts w:ascii="TH Sarabun New" w:hAnsi="TH Sarabun New" w:eastAsia="TH Sarabun New"/>
          <w:b w:val="0"/>
          <w:color w:val="212121"/>
          <w:sz w:val="32"/>
        </w:rPr>
        <w:t>รายงานผลการสวนหัวใจ (Cardiac Catheterization Report)</w:t>
      </w:r>
    </w:p>
    <w:p>
      <w:pPr>
        <w:pStyle w:val="ListNumber"/>
        <w:spacing w:after="40"/>
      </w:pPr>
      <w:r>
        <w:rPr>
          <w:rFonts w:ascii="TH Sarabun New" w:hAnsi="TH Sarabun New" w:eastAsia="TH Sarabun New"/>
          <w:b w:val="0"/>
          <w:color w:val="212121"/>
          <w:sz w:val="32"/>
        </w:rPr>
        <w:t>ภาพ Angiogram ที่แสดง lesion</w:t>
      </w:r>
    </w:p>
    <w:p>
      <w:pPr>
        <w:pStyle w:val="ListNumber"/>
        <w:spacing w:after="40"/>
      </w:pPr>
      <w:r>
        <w:rPr>
          <w:rFonts w:ascii="TH Sarabun New" w:hAnsi="TH Sarabun New" w:eastAsia="TH Sarabun New"/>
          <w:b w:val="0"/>
          <w:color w:val="212121"/>
          <w:sz w:val="32"/>
        </w:rPr>
        <w:t>Hemodynamic data (MAP, Lactate, Vasopressor)</w:t>
      </w:r>
    </w:p>
    <w:p>
      <w:pPr>
        <w:pStyle w:val="ListNumber"/>
        <w:spacing w:after="40"/>
      </w:pPr>
      <w:r>
        <w:rPr>
          <w:rFonts w:ascii="TH Sarabun New" w:hAnsi="TH Sarabun New" w:eastAsia="TH Sarabun New"/>
          <w:b w:val="0"/>
          <w:color w:val="212121"/>
          <w:sz w:val="32"/>
        </w:rPr>
        <w:t>ICU chart</w:t>
      </w:r>
    </w:p>
    <w:p>
      <w:pPr>
        <w:spacing w:before="240" w:after="480"/>
        <w:ind w:firstLine="1417"/>
        <w:jc w:val="left"/>
      </w:pPr>
      <w:r>
        <w:rPr>
          <w:rFonts w:ascii="TH Sarabun New" w:hAnsi="TH Sarabun New" w:eastAsia="TH Sarabun New"/>
          <w:b w:val="0"/>
          <w:color w:val="212121"/>
          <w:sz w:val="32"/>
        </w:rPr>
        <w:t>จึงเรียนมาเพื่อโปรดพิจารณาทบทวนผลการตรวจสอบ และขอให้ดำเนินการจ่ายชดเชยค่าบริการตามหลักเกณฑ์ที่กำหนด จะเป็นพระคุณยิ่ง</w:t>
      </w:r>
    </w:p>
    <w:p>
      <w:pPr>
        <w:spacing w:before="240" w:after="720"/>
        <w:jc w:val="center"/>
      </w:pPr>
      <w:r>
        <w:rPr>
          <w:rFonts w:ascii="TH Sarabun New" w:hAnsi="TH Sarabun New" w:eastAsia="TH Sarabun New"/>
          <w:b w:val="0"/>
          <w:color w:val="212121"/>
          <w:sz w:val="32"/>
        </w:rPr>
        <w:t>ขอแสดงความนับถือ</w:t>
      </w:r>
    </w:p>
    <w:p>
      <w:pPr>
        <w:spacing w:before="0" w:after="80"/>
        <w:jc w:val="center"/>
      </w:pPr>
      <w:r>
        <w:rPr>
          <w:rFonts w:ascii="TH Sarabun New" w:hAnsi="TH Sarabun New" w:eastAsia="TH Sarabun New"/>
          <w:b w:val="0"/>
          <w:color w:val="212121"/>
          <w:sz w:val="32"/>
        </w:rPr>
        <w:t>(............................................................)</w:t>
      </w:r>
    </w:p>
    <w:p>
      <w:pPr>
        <w:spacing w:before="0" w:after="40"/>
        <w:jc w:val="center"/>
      </w:pPr>
      <w:r>
        <w:rPr>
          <w:rFonts w:ascii="TH Sarabun New" w:hAnsi="TH Sarabun New" w:eastAsia="TH Sarabun New"/>
          <w:b w:val="0"/>
          <w:color w:val="212121"/>
          <w:sz w:val="32"/>
        </w:rPr>
        <w:t>ตำแหน่ง ผู้อำนวยการโรงพยาบาลพญาไทศรีราชา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 New" w:hAnsi="TH Sarabun New"/>
        <w:color w:val="616161"/>
        <w:sz w:val="20"/>
      </w:rPr>
      <w:t xml:space="preserve">Hospital Claim AI — </w:t>
    </w: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H Sarabun New" w:hAnsi="TH Sarabun New"/>
        <w:i/>
        <w:color w:val="616161"/>
        <w:sz w:val="20"/>
      </w:rPr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