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80"/>
        <w:jc w:val="center"/>
      </w:pPr>
      <w:r>
        <w:rPr>
          <w:rFonts w:ascii="TH Sarabun New" w:hAnsi="TH Sarabun New" w:eastAsia="TH Sarabun New"/>
          <w:b/>
          <w:color w:val="0D47A1"/>
          <w:sz w:val="56"/>
        </w:rPr>
        <w:t>V993 Pre-Authorization Deny Analysis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color w:val="616161"/>
          <w:sz w:val="36"/>
        </w:rPr>
        <w:t>โรงพยาบาลพญาไทศรีราชา (11855)</w:t>
      </w:r>
    </w:p>
    <w:p>
      <w:pPr>
        <w:spacing w:before="0" w:after="400"/>
        <w:jc w:val="center"/>
      </w:pPr>
      <w:r>
        <w:rPr>
          <w:rFonts w:ascii="TH Sarabun New" w:hAnsi="TH Sarabun New" w:eastAsia="TH Sarabun New"/>
          <w:b w:val="0"/>
          <w:color w:val="616161"/>
          <w:sz w:val="32"/>
        </w:rPr>
        <w:t>4 cases | 01/04/2026</w:t>
      </w:r>
    </w:p>
    <w:p>
      <w:r>
        <w:br w:type="page"/>
      </w:r>
    </w:p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1. Summary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Total cases: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Deny Pattern</w:t>
            </w:r>
          </w:p>
        </w:tc>
        <w:tc>
          <w:tcPr>
            <w:tcW w:type="dxa" w:w="1134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จำนวน</w:t>
            </w:r>
          </w:p>
        </w:tc>
        <w:tc>
          <w:tcPr>
            <w:tcW w:type="dxa" w:w="1701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ระดับ</w:t>
            </w:r>
          </w:p>
        </w:tc>
        <w:tc>
          <w:tcPr>
            <w:tcW w:type="dxa" w:w="3118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โอกาสอุทธรณ์สำเร็จ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Stenosis 51-75% (ไม่ถึงเกณฑ์)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HIGH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สูง (ถ้ามี FFR)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Multivessel PCI ใน shock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CRITICAL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ปานกลาง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SYNTAX &gt;33 (ควร CABG)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HIGH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ปานกลาง</w:t>
            </w:r>
          </w:p>
        </w:tc>
      </w:tr>
    </w:tbl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2. Systemic Prevention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28"/>
        </w:rPr>
        <w:t>FFR Protocol: stenosis 50-70% ต้องทำ FFR/iFR ก่อน PCI ทุกราย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28"/>
        </w:rPr>
        <w:t>Heart Team: SYNTAX &gt;22 ต้องผ่าน Heart Team discussion + บันทึก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28"/>
        </w:rPr>
        <w:t>Staged PCI: ห้ามทำ multivessel non-culprit PCI ใน same setting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28"/>
        </w:rPr>
        <w:t>Pre-Auth Checklist: ตรวจ stenosis &gt;70% / FFR &lt;0.80 / SYNTAX ≤33 / Heart Team note</w:t>
      </w:r>
    </w:p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3. Case Details</w:t>
      </w:r>
    </w:p>
    <w:p>
      <w:pPr>
        <w:spacing w:before="240" w:after="80"/>
        <w:jc w:val="left"/>
      </w:pPr>
      <w:r>
        <w:rPr>
          <w:rFonts w:ascii="TH Sarabun New" w:hAnsi="TH Sarabun New" w:eastAsia="TH Sarabun New"/>
          <w:b/>
          <w:color w:val="1A237E"/>
          <w:sz w:val="32"/>
        </w:rPr>
        <w:t>Case 1: โม่ง เกตุงามขำ (ชาย, 76 ปี)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PID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3200800029197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Admit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05/05/2568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Type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C2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CAG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ผ่าน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PCI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ไม่ผ่าน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Deny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Cx/OM-BASELINE: 51-75%,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Category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STENOSIS_BORDERLINE (HIGH)</w:t>
            </w:r>
          </w:p>
        </w:tc>
      </w:tr>
    </w:tbl>
    <w:p>
      <w:pPr>
        <w:spacing w:before="160" w:after="40"/>
        <w:jc w:val="left"/>
      </w:pPr>
      <w:r>
        <w:rPr>
          <w:rFonts w:ascii="TH Sarabun New" w:hAnsi="TH Sarabun New" w:eastAsia="TH Sarabun New"/>
          <w:b/>
          <w:color w:val="B91C1C"/>
          <w:sz w:val="28"/>
        </w:rPr>
        <w:t>Root Cause: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 w:val="0"/>
          <w:color w:val="212121"/>
          <w:sz w:val="28"/>
        </w:rPr>
        <w:t>ไม่มีผล FFR/iFR support ว่า lesion มี hemodynamic significance</w:t>
      </w:r>
    </w:p>
    <w:p>
      <w:pPr>
        <w:spacing w:before="80" w:after="40"/>
        <w:jc w:val="left"/>
      </w:pPr>
      <w:r>
        <w:rPr>
          <w:rFonts w:ascii="TH Sarabun New" w:hAnsi="TH Sarabun New" w:eastAsia="TH Sarabun New"/>
          <w:b/>
          <w:color w:val="2E7D32"/>
          <w:sz w:val="28"/>
        </w:rPr>
        <w:t>Appeal Strategy: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 w:val="0"/>
          <w:color w:val="212121"/>
          <w:sz w:val="28"/>
        </w:rPr>
        <w:t>ส่ง FFR/iFR report ที่แสดงค่า &lt;0.80 หรือ iFR &lt;0.89</w:t>
      </w:r>
    </w:p>
    <w:p>
      <w:pPr>
        <w:spacing w:before="80" w:after="40"/>
        <w:jc w:val="left"/>
      </w:pPr>
      <w:r>
        <w:rPr>
          <w:rFonts w:ascii="TH Sarabun New" w:hAnsi="TH Sarabun New" w:eastAsia="TH Sarabun New"/>
          <w:b/>
          <w:color w:val="0D47A1"/>
          <w:sz w:val="28"/>
        </w:rPr>
        <w:t>Guideline Reference: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 w:val="0"/>
          <w:color w:val="212121"/>
          <w:sz w:val="26"/>
        </w:rPr>
        <w:t>ESC/EACTS 2024 Guideline: Class I recommendation for FFR/iFR in intermediate stenosis (50-70%)</w:t>
      </w:r>
    </w:p>
    <w:p>
      <w:pPr>
        <w:spacing w:before="80" w:after="40"/>
        <w:jc w:val="left"/>
      </w:pPr>
      <w:r>
        <w:rPr>
          <w:rFonts w:ascii="TH Sarabun New" w:hAnsi="TH Sarabun New" w:eastAsia="TH Sarabun New"/>
          <w:b/>
          <w:color w:val="F57C00"/>
          <w:sz w:val="28"/>
        </w:rPr>
        <w:t>Prevention:</w:t>
      </w:r>
    </w:p>
    <w:p>
      <w:pPr>
        <w:spacing w:before="0" w:after="160"/>
        <w:jc w:val="left"/>
      </w:pPr>
      <w:r>
        <w:rPr>
          <w:rFonts w:ascii="TH Sarabun New" w:hAnsi="TH Sarabun New" w:eastAsia="TH Sarabun New"/>
          <w:b w:val="0"/>
          <w:color w:val="212121"/>
          <w:sz w:val="28"/>
        </w:rPr>
        <w:t>ทำ FFR/iFR ทุกราย ที่ stenosis 50-70% ก่อนตัดสินใจ PCI</w:t>
      </w:r>
    </w:p>
    <w:p>
      <w:pPr>
        <w:spacing w:before="240" w:after="80"/>
        <w:jc w:val="left"/>
      </w:pPr>
      <w:r>
        <w:rPr>
          <w:rFonts w:ascii="TH Sarabun New" w:hAnsi="TH Sarabun New" w:eastAsia="TH Sarabun New"/>
          <w:b/>
          <w:color w:val="1A237E"/>
          <w:sz w:val="32"/>
        </w:rPr>
        <w:t>Case 2: ทองมา ทองมาก (หญิง, 75 ปี)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PID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3200400117731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Admit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08/01/2568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Type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C2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CAG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ไม่ผ่าน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PCI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ไม่ผ่าน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Deny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NSTE-ACS: nste-acs case with cardiogenic shock, routine multivessel pci of non-culprit lesions in the same setting.  should not be performed.,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Category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MULTIVESSEL_SHOCK (CRITICAL)</w:t>
            </w:r>
          </w:p>
        </w:tc>
      </w:tr>
    </w:tbl>
    <w:p>
      <w:pPr>
        <w:spacing w:before="160" w:after="40"/>
        <w:jc w:val="left"/>
      </w:pPr>
      <w:r>
        <w:rPr>
          <w:rFonts w:ascii="TH Sarabun New" w:hAnsi="TH Sarabun New" w:eastAsia="TH Sarabun New"/>
          <w:b/>
          <w:color w:val="B91C1C"/>
          <w:sz w:val="28"/>
        </w:rPr>
        <w:t>Root Cause: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 w:val="0"/>
          <w:color w:val="212121"/>
          <w:sz w:val="28"/>
        </w:rPr>
        <w:t>ทำ complete revascularization ใน same setting ขณะ hemodynamically unstable</w:t>
      </w:r>
    </w:p>
    <w:p>
      <w:pPr>
        <w:spacing w:before="80" w:after="40"/>
        <w:jc w:val="left"/>
      </w:pPr>
      <w:r>
        <w:rPr>
          <w:rFonts w:ascii="TH Sarabun New" w:hAnsi="TH Sarabun New" w:eastAsia="TH Sarabun New"/>
          <w:b/>
          <w:color w:val="2E7D32"/>
          <w:sz w:val="28"/>
        </w:rPr>
        <w:t>Appeal Strategy: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 w:val="0"/>
          <w:color w:val="212121"/>
          <w:sz w:val="28"/>
        </w:rPr>
        <w:t>อ้าง clinical necessity: hemodynamic instability ต้องทำ complete revasc เพื่อ survival</w:t>
      </w:r>
    </w:p>
    <w:p>
      <w:pPr>
        <w:spacing w:before="80" w:after="40"/>
        <w:jc w:val="left"/>
      </w:pPr>
      <w:r>
        <w:rPr>
          <w:rFonts w:ascii="TH Sarabun New" w:hAnsi="TH Sarabun New" w:eastAsia="TH Sarabun New"/>
          <w:b/>
          <w:color w:val="0D47A1"/>
          <w:sz w:val="28"/>
        </w:rPr>
        <w:t>Guideline Reference: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 w:val="0"/>
          <w:color w:val="212121"/>
          <w:sz w:val="26"/>
        </w:rPr>
        <w:t>CULPRIT-SHOCK Trial 2017: culprit-only PCI preferred in cardiogenic shock. แต่ ACC/AHA 2021: complete revasc อาจ consider ใน selected cases</w:t>
      </w:r>
    </w:p>
    <w:p>
      <w:pPr>
        <w:spacing w:before="80" w:after="40"/>
        <w:jc w:val="left"/>
      </w:pPr>
      <w:r>
        <w:rPr>
          <w:rFonts w:ascii="TH Sarabun New" w:hAnsi="TH Sarabun New" w:eastAsia="TH Sarabun New"/>
          <w:b/>
          <w:color w:val="F57C00"/>
          <w:sz w:val="28"/>
        </w:rPr>
        <w:t>Prevention:</w:t>
      </w:r>
    </w:p>
    <w:p>
      <w:pPr>
        <w:spacing w:before="0" w:after="160"/>
        <w:jc w:val="left"/>
      </w:pPr>
      <w:r>
        <w:rPr>
          <w:rFonts w:ascii="TH Sarabun New" w:hAnsi="TH Sarabun New" w:eastAsia="TH Sarabun New"/>
          <w:b w:val="0"/>
          <w:color w:val="212121"/>
          <w:sz w:val="28"/>
        </w:rPr>
        <w:t>แยก staged PCI: ทำ culprit lesion ก่อน แล้ว non-culprit แยก admission</w:t>
      </w:r>
    </w:p>
    <w:p>
      <w:pPr>
        <w:spacing w:before="240" w:after="80"/>
        <w:jc w:val="left"/>
      </w:pPr>
      <w:r>
        <w:rPr>
          <w:rFonts w:ascii="TH Sarabun New" w:hAnsi="TH Sarabun New" w:eastAsia="TH Sarabun New"/>
          <w:b/>
          <w:color w:val="1A237E"/>
          <w:sz w:val="32"/>
        </w:rPr>
        <w:t>Case 3: วุฒธิชัย ใจมั่น (ชาย, 58 ปี)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PID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3101402974551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Admit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09/12/2567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Type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C3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CAG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ผ่าน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PCI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ไม่ผ่าน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Deny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Cx/OM-BASELINE: 51-75%,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Category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STENOSIS_BORDERLINE (HIGH)</w:t>
            </w:r>
          </w:p>
        </w:tc>
      </w:tr>
    </w:tbl>
    <w:p>
      <w:pPr>
        <w:spacing w:before="160" w:after="40"/>
        <w:jc w:val="left"/>
      </w:pPr>
      <w:r>
        <w:rPr>
          <w:rFonts w:ascii="TH Sarabun New" w:hAnsi="TH Sarabun New" w:eastAsia="TH Sarabun New"/>
          <w:b/>
          <w:color w:val="B91C1C"/>
          <w:sz w:val="28"/>
        </w:rPr>
        <w:t>Root Cause: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 w:val="0"/>
          <w:color w:val="212121"/>
          <w:sz w:val="28"/>
        </w:rPr>
        <w:t>ไม่มีผล FFR/iFR support ว่า lesion มี hemodynamic significance</w:t>
      </w:r>
    </w:p>
    <w:p>
      <w:pPr>
        <w:spacing w:before="80" w:after="40"/>
        <w:jc w:val="left"/>
      </w:pPr>
      <w:r>
        <w:rPr>
          <w:rFonts w:ascii="TH Sarabun New" w:hAnsi="TH Sarabun New" w:eastAsia="TH Sarabun New"/>
          <w:b/>
          <w:color w:val="2E7D32"/>
          <w:sz w:val="28"/>
        </w:rPr>
        <w:t>Appeal Strategy: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 w:val="0"/>
          <w:color w:val="212121"/>
          <w:sz w:val="28"/>
        </w:rPr>
        <w:t>ส่ง FFR/iFR report ที่แสดงค่า &lt;0.80 หรือ iFR &lt;0.89</w:t>
      </w:r>
    </w:p>
    <w:p>
      <w:pPr>
        <w:spacing w:before="80" w:after="40"/>
        <w:jc w:val="left"/>
      </w:pPr>
      <w:r>
        <w:rPr>
          <w:rFonts w:ascii="TH Sarabun New" w:hAnsi="TH Sarabun New" w:eastAsia="TH Sarabun New"/>
          <w:b/>
          <w:color w:val="0D47A1"/>
          <w:sz w:val="28"/>
        </w:rPr>
        <w:t>Guideline Reference: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 w:val="0"/>
          <w:color w:val="212121"/>
          <w:sz w:val="26"/>
        </w:rPr>
        <w:t>ESC/EACTS 2024 Guideline: Class I recommendation for FFR/iFR in intermediate stenosis (50-70%)</w:t>
      </w:r>
    </w:p>
    <w:p>
      <w:pPr>
        <w:spacing w:before="80" w:after="40"/>
        <w:jc w:val="left"/>
      </w:pPr>
      <w:r>
        <w:rPr>
          <w:rFonts w:ascii="TH Sarabun New" w:hAnsi="TH Sarabun New" w:eastAsia="TH Sarabun New"/>
          <w:b/>
          <w:color w:val="F57C00"/>
          <w:sz w:val="28"/>
        </w:rPr>
        <w:t>Prevention:</w:t>
      </w:r>
    </w:p>
    <w:p>
      <w:pPr>
        <w:spacing w:before="0" w:after="160"/>
        <w:jc w:val="left"/>
      </w:pPr>
      <w:r>
        <w:rPr>
          <w:rFonts w:ascii="TH Sarabun New" w:hAnsi="TH Sarabun New" w:eastAsia="TH Sarabun New"/>
          <w:b w:val="0"/>
          <w:color w:val="212121"/>
          <w:sz w:val="28"/>
        </w:rPr>
        <w:t>ทำ FFR/iFR ทุกราย ที่ stenosis 50-70% ก่อนตัดสินใจ PCI</w:t>
      </w:r>
    </w:p>
    <w:p>
      <w:pPr>
        <w:spacing w:before="240" w:after="80"/>
        <w:jc w:val="left"/>
      </w:pPr>
      <w:r>
        <w:rPr>
          <w:rFonts w:ascii="TH Sarabun New" w:hAnsi="TH Sarabun New" w:eastAsia="TH Sarabun New"/>
          <w:b/>
          <w:color w:val="1A237E"/>
          <w:sz w:val="32"/>
        </w:rPr>
        <w:t>Case 4: มะลิ แจ้งกระจ่าง (ชาย, 73 ปี)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PID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3200700804181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Admit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23/12/2567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Type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C3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CAG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ผ่าน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PCI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ไม่ผ่าน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Deny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SYNTAX-SCORE: high syntax(&gt;33),</w:t>
            </w:r>
          </w:p>
        </w:tc>
      </w:tr>
      <w:tr>
        <w:tc>
          <w:tcPr>
            <w:tcW w:type="dxa" w:w="2268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Category</w:t>
            </w:r>
          </w:p>
        </w:tc>
        <w:tc>
          <w:tcPr>
            <w:tcW w:type="dxa" w:w="680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HIGH_SYNTAX (HIGH)</w:t>
            </w:r>
          </w:p>
        </w:tc>
      </w:tr>
    </w:tbl>
    <w:p>
      <w:pPr>
        <w:spacing w:before="160" w:after="40"/>
        <w:jc w:val="left"/>
      </w:pPr>
      <w:r>
        <w:rPr>
          <w:rFonts w:ascii="TH Sarabun New" w:hAnsi="TH Sarabun New" w:eastAsia="TH Sarabun New"/>
          <w:b/>
          <w:color w:val="B91C1C"/>
          <w:sz w:val="28"/>
        </w:rPr>
        <w:t>Root Cause: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 w:val="0"/>
          <w:color w:val="212121"/>
          <w:sz w:val="28"/>
        </w:rPr>
        <w:t>Complex coronary anatomy ที่ guideline แนะนำ CABG</w:t>
      </w:r>
    </w:p>
    <w:p>
      <w:pPr>
        <w:spacing w:before="80" w:after="40"/>
        <w:jc w:val="left"/>
      </w:pPr>
      <w:r>
        <w:rPr>
          <w:rFonts w:ascii="TH Sarabun New" w:hAnsi="TH Sarabun New" w:eastAsia="TH Sarabun New"/>
          <w:b/>
          <w:color w:val="2E7D32"/>
          <w:sz w:val="28"/>
        </w:rPr>
        <w:t>Appeal Strategy: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 w:val="0"/>
          <w:color w:val="212121"/>
          <w:sz w:val="28"/>
        </w:rPr>
        <w:t>อ้าง Heart Team decision + surgical risk สูง (STS score) + patient preference</w:t>
      </w:r>
    </w:p>
    <w:p>
      <w:pPr>
        <w:spacing w:before="80" w:after="40"/>
        <w:jc w:val="left"/>
      </w:pPr>
      <w:r>
        <w:rPr>
          <w:rFonts w:ascii="TH Sarabun New" w:hAnsi="TH Sarabun New" w:eastAsia="TH Sarabun New"/>
          <w:b/>
          <w:color w:val="0D47A1"/>
          <w:sz w:val="28"/>
        </w:rPr>
        <w:t>Guideline Reference: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 w:val="0"/>
          <w:color w:val="212121"/>
          <w:sz w:val="26"/>
        </w:rPr>
        <w:t>ESC/EACTS 2024: SYNTAX &gt;33 → CABG recommended (Class I). แต่ PCI acceptable ถ้า surgical risk สูง หรือ patient refuses CABG</w:t>
      </w:r>
    </w:p>
    <w:p>
      <w:pPr>
        <w:spacing w:before="80" w:after="40"/>
        <w:jc w:val="left"/>
      </w:pPr>
      <w:r>
        <w:rPr>
          <w:rFonts w:ascii="TH Sarabun New" w:hAnsi="TH Sarabun New" w:eastAsia="TH Sarabun New"/>
          <w:b/>
          <w:color w:val="F57C00"/>
          <w:sz w:val="28"/>
        </w:rPr>
        <w:t>Prevention:</w:t>
      </w:r>
    </w:p>
    <w:p>
      <w:pPr>
        <w:spacing w:before="0" w:after="160"/>
        <w:jc w:val="left"/>
      </w:pPr>
      <w:r>
        <w:rPr>
          <w:rFonts w:ascii="TH Sarabun New" w:hAnsi="TH Sarabun New" w:eastAsia="TH Sarabun New"/>
          <w:b w:val="0"/>
          <w:color w:val="212121"/>
          <w:sz w:val="28"/>
        </w:rPr>
        <w:t>ทำ Heart Team discussion ทุกราย SYNTAX &gt;22 + บันทึกเอกสาร</w:t>
      </w:r>
    </w:p>
    <w:p/>
    <w:p>
      <w:pPr>
        <w:spacing w:before="0" w:after="120"/>
        <w:jc w:val="right"/>
      </w:pPr>
      <w:r>
        <w:rPr>
          <w:rFonts w:ascii="TH Sarabun New" w:hAnsi="TH Sarabun New" w:eastAsia="TH Sarabun New"/>
          <w:b w:val="0"/>
          <w:color w:val="616161"/>
          <w:sz w:val="24"/>
        </w:rPr>
        <w:t>Report generated: 01/04/2026 | Hospital Claim AI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color w:val="616161"/>
        <w:sz w:val="20"/>
      </w:rPr>
      <w:t xml:space="preserve">Hospital Claim AI —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i/>
        <w:color w:val="616161"/>
        <w:sz w:val="20"/>
      </w:rPr>
      <w:t>CONFIDENTIAL - V993 Pre-Auth Deny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