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83C30">
      <w:pPr>
        <w:spacing w:after="1680"/>
      </w:pPr>
    </w:p>
    <w:p w14:paraId="1F465A86">
      <w:pPr>
        <w:spacing w:after="320"/>
        <w:jc w:val="center"/>
      </w:pPr>
      <w:r>
        <w:rPr>
          <w:rFonts w:ascii="Calibri" w:hAnsi="Calibri" w:eastAsia="微软雅黑"/>
          <w:b/>
          <w:color w:val="D99B2B"/>
          <w:sz w:val="22"/>
        </w:rPr>
        <w:t>技术原理与仿真入门</w:t>
      </w:r>
    </w:p>
    <w:p w14:paraId="1310D3D4">
      <w:pPr>
        <w:pStyle w:val="31"/>
        <w:jc w:val="center"/>
      </w:pPr>
      <w:r>
        <w:rPr>
          <w:rFonts w:ascii="Calibri" w:hAnsi="Calibri" w:eastAsia="微软雅黑"/>
          <w:b/>
          <w:color w:val="0B2545"/>
          <w:sz w:val="58"/>
        </w:rPr>
        <w:t>水下目标静电场与轴频电场</w:t>
      </w:r>
      <w:r>
        <w:rPr>
          <w:rFonts w:ascii="Calibri" w:hAnsi="Calibri" w:eastAsia="微软雅黑"/>
          <w:b/>
          <w:color w:val="0B2545"/>
          <w:sz w:val="58"/>
        </w:rPr>
        <w:br w:type="textWrapping"/>
      </w:r>
      <w:r>
        <w:rPr>
          <w:rFonts w:ascii="Calibri" w:hAnsi="Calibri" w:eastAsia="微软雅黑"/>
          <w:b/>
          <w:color w:val="0B2545"/>
          <w:sz w:val="58"/>
        </w:rPr>
        <w:t>仿真原理说明</w:t>
      </w:r>
    </w:p>
    <w:p w14:paraId="3FD49029">
      <w:pPr>
        <w:pStyle w:val="26"/>
        <w:jc w:val="center"/>
      </w:pPr>
      <w:r>
        <w:rPr>
          <w:rFonts w:ascii="Calibri" w:hAnsi="Calibri" w:eastAsia="微软雅黑"/>
          <w:color w:val="1F4D78"/>
          <w:sz w:val="28"/>
        </w:rPr>
        <w:t>从腐蚀电流、等效偶极子到运动目标时序与频谱</w:t>
      </w:r>
    </w:p>
    <w:p w14:paraId="305F0854">
      <w:pPr>
        <w:spacing w:before="480" w:after="1600"/>
        <w:ind w:left="936" w:right="936"/>
        <w:jc w:val="center"/>
      </w:pPr>
      <w:r>
        <w:rPr>
          <w:rFonts w:ascii="Calibri" w:hAnsi="Calibri" w:eastAsia="微软雅黑"/>
          <w:i/>
          <w:color w:val="667085"/>
          <w:sz w:val="22"/>
        </w:rPr>
        <w:t>面向非专业读者的通俗技术说明 · 不涉及任何程序代码</w:t>
      </w:r>
    </w:p>
    <w:p w14:paraId="21E4E6A2">
      <w:pPr>
        <w:jc w:val="center"/>
      </w:pPr>
      <w:r>
        <w:rPr>
          <w:rFonts w:ascii="Calibri" w:hAnsi="Calibri" w:eastAsia="微软雅黑"/>
          <w:b/>
          <w:color w:val="1F4D78"/>
          <w:sz w:val="22"/>
        </w:rPr>
        <w:t>2026年7月</w:t>
      </w:r>
    </w:p>
    <w:p w14:paraId="5E15F9D2">
      <w:r>
        <w:br w:type="page"/>
      </w:r>
    </w:p>
    <w:p w14:paraId="40FC6702">
      <w:pPr>
        <w:pStyle w:val="3"/>
      </w:pPr>
      <w:r>
        <w:t>先看结论</w:t>
      </w:r>
    </w:p>
    <w:p w14:paraId="4D253959">
      <w:pPr>
        <w:pStyle w:val="166"/>
        <w:pBdr>
          <w:left w:val="single" w:color="2E74B5" w:sz="18" w:space="8"/>
        </w:pBdr>
        <w:shd w:val="clear" w:fill="E8F1F8"/>
      </w:pPr>
      <w:r>
        <w:rPr>
          <w:rFonts w:ascii="Calibri" w:hAnsi="Calibri" w:eastAsia="微软雅黑"/>
          <w:b/>
          <w:color w:val="0B2545"/>
          <w:sz w:val="21"/>
        </w:rPr>
        <w:t>一句话理解：</w:t>
      </w:r>
      <w:r>
        <w:rPr>
          <w:rFonts w:ascii="Calibri" w:hAnsi="Calibri" w:eastAsia="微软雅黑"/>
          <w:color w:val="0B2545"/>
          <w:sz w:val="21"/>
        </w:rPr>
        <w:t>舰船在海水中就像一节很弱、形状很复杂的“电池”：不同金属和防腐系统驱动微弱电流流过海水，形成较稳定的静电场；轴转动又会周期性改变电流通路，于是在静电场上叠加轴频电场。</w:t>
      </w:r>
    </w:p>
    <w:p w14:paraId="5E804967">
      <w:pPr>
        <w:pStyle w:val="16"/>
      </w:pPr>
      <w:r>
        <w:rPr>
          <w:rFonts w:ascii="Calibri" w:hAnsi="Calibri" w:eastAsia="微软雅黑"/>
        </w:rPr>
        <w:t>静电场不是空气中“摩擦起电”的静电，而是海水导电条件下由腐蚀与防腐电流形成的缓慢变化电场。</w:t>
      </w:r>
    </w:p>
    <w:p w14:paraId="2384D84B">
      <w:pPr>
        <w:pStyle w:val="16"/>
      </w:pPr>
      <w:r>
        <w:rPr>
          <w:rFonts w:ascii="Calibri" w:hAnsi="Calibri" w:eastAsia="微软雅黑"/>
        </w:rPr>
        <w:t>轴频电场的基频等于轴每秒转数，即转速（r/min）除以60。</w:t>
      </w:r>
    </w:p>
    <w:p w14:paraId="76B38962">
      <w:pPr>
        <w:pStyle w:val="16"/>
      </w:pPr>
      <w:r>
        <w:rPr>
          <w:rFonts w:ascii="Calibri" w:hAnsi="Calibri" w:eastAsia="微软雅黑"/>
        </w:rPr>
        <w:t>远距离上，舰船通常可简化成一个或多个电流偶极子；理想偶极场大致按距离的三次方反比衰减。</w:t>
      </w:r>
    </w:p>
    <w:p w14:paraId="11653D26">
      <w:pPr>
        <w:pStyle w:val="16"/>
      </w:pPr>
      <w:r>
        <w:rPr>
          <w:rFonts w:ascii="Calibri" w:hAnsi="Calibri" w:eastAsia="微软雅黑"/>
        </w:rPr>
        <w:t>目标运动不会凭空改变公式，但会不断改变目标到传感器的距离和方向，因此传感器记录到随时间变化的曲线。</w:t>
      </w:r>
    </w:p>
    <w:p w14:paraId="34EA1EE8">
      <w:pPr>
        <w:pStyle w:val="16"/>
      </w:pPr>
      <w:r>
        <w:rPr>
          <w:rFonts w:ascii="Calibri" w:hAnsi="Calibri" w:eastAsia="微软雅黑"/>
        </w:rPr>
        <w:t>目标尺寸和吨位只能帮助估算，不能唯一决定真实场强；工程级仿真必须使用实测或高保真计算结果标定等效源。</w:t>
      </w:r>
    </w:p>
    <w:p w14:paraId="61411AB6">
      <w:pPr>
        <w:pStyle w:val="4"/>
      </w:pPr>
      <w:r>
        <w:t>阅读路线</w:t>
      </w:r>
    </w:p>
    <w:p w14:paraId="03E785A9">
      <w:pPr>
        <w:pStyle w:val="14"/>
      </w:pPr>
      <w:r>
        <w:rPr>
          <w:rFonts w:ascii="Calibri" w:hAnsi="Calibri" w:eastAsia="微软雅黑"/>
        </w:rPr>
        <w:t>先理解海水为什么能导电，以及舰船为什么会产生腐蚀电流。</w:t>
      </w:r>
    </w:p>
    <w:p w14:paraId="3D650A56">
      <w:pPr>
        <w:pStyle w:val="14"/>
      </w:pPr>
      <w:r>
        <w:rPr>
          <w:rFonts w:ascii="Calibri" w:hAnsi="Calibri" w:eastAsia="微软雅黑"/>
        </w:rPr>
        <w:t>再用等效电流偶极子把复杂船体简化成容易计算的源。</w:t>
      </w:r>
    </w:p>
    <w:p w14:paraId="7136BB75">
      <w:pPr>
        <w:pStyle w:val="14"/>
      </w:pPr>
      <w:r>
        <w:rPr>
          <w:rFonts w:ascii="Calibri" w:hAnsi="Calibri" w:eastAsia="微软雅黑"/>
        </w:rPr>
        <w:t>然后理解轴转动如何把稳定电流调制成周期信号。</w:t>
      </w:r>
    </w:p>
    <w:p w14:paraId="2003C181">
      <w:pPr>
        <w:pStyle w:val="14"/>
      </w:pPr>
      <w:r>
        <w:rPr>
          <w:rFonts w:ascii="Calibri" w:hAnsi="Calibri" w:eastAsia="微软雅黑"/>
        </w:rPr>
        <w:t>最后把目标运动、传感器位置和采样过程合在一起，生成时域曲线和频谱。</w:t>
      </w:r>
    </w:p>
    <w:p w14:paraId="4FE630A0">
      <w:pPr>
        <w:keepNext/>
        <w:spacing w:before="120" w:after="0"/>
        <w:jc w:val="center"/>
      </w:pPr>
      <w:r>
        <w:drawing>
          <wp:inline distT="0" distB="0" distL="114300" distR="114300">
            <wp:extent cx="57150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EF87">
      <w:pPr>
        <w:pStyle w:val="164"/>
      </w:pPr>
      <w:r>
        <w:rPr>
          <w:rFonts w:ascii="Calibri" w:hAnsi="Calibri" w:eastAsia="微软雅黑"/>
          <w:color w:val="344054"/>
          <w:sz w:val="19"/>
        </w:rPr>
        <w:t>图1  舰船水下静电场与轴频电场的产生机理（原创示意图）</w:t>
      </w:r>
    </w:p>
    <w:p w14:paraId="64750A4A">
      <w:pPr>
        <w:pStyle w:val="3"/>
      </w:pPr>
      <w:r>
        <w:t>1. 海水中的电场从哪里来</w:t>
      </w:r>
    </w:p>
    <w:p w14:paraId="3B040CEF">
      <w:pPr>
        <w:pStyle w:val="4"/>
      </w:pPr>
      <w:r>
        <w:t>1.1 海水是一种导体</w:t>
      </w:r>
    </w:p>
    <w:p w14:paraId="5012C03C">
      <w:pPr>
        <w:widowControl/>
      </w:pPr>
      <w:r>
        <w:rPr>
          <w:rFonts w:ascii="Calibri" w:hAnsi="Calibri" w:eastAsia="微软雅黑"/>
        </w:rPr>
        <w:t>海水中含有大量可以移动的正、负离子，因此能够导电。电场会推动离子运动并形成电流。对低频、尺度不太大的问题，常用欧姆定律的连续介质形式表示：</w:t>
      </w:r>
    </w:p>
    <w:p w14:paraId="251BFE04">
      <w:pPr>
        <w:pStyle w:val="165"/>
      </w:pPr>
      <w:r>
        <w:rPr>
          <w:rFonts w:ascii="Cambria Math" w:hAnsi="Cambria Math" w:eastAsia="微软雅黑"/>
          <w:color w:val="0B2545"/>
          <w:sz w:val="24"/>
        </w:rPr>
        <w:t>J = σE</w:t>
      </w:r>
    </w:p>
    <w:p w14:paraId="5D682300">
      <w:pPr>
        <w:spacing w:after="120"/>
        <w:jc w:val="center"/>
      </w:pPr>
      <w:r>
        <w:rPr>
          <w:rFonts w:ascii="Calibri" w:hAnsi="Calibri" w:eastAsia="微软雅黑"/>
          <w:i/>
          <w:color w:val="667085"/>
          <w:sz w:val="19"/>
        </w:rPr>
        <w:t>J 为电流密度（A/m²），σ 为海水电导率（S/m），E 为电场强度（V/m）。</w:t>
      </w:r>
    </w:p>
    <w:p w14:paraId="73E40E49">
      <w:pPr>
        <w:widowControl/>
      </w:pPr>
      <w:r>
        <w:rPr>
          <w:rFonts w:ascii="Calibri" w:hAnsi="Calibri" w:eastAsia="微软雅黑"/>
        </w:rPr>
        <w:t>这条式子很直观：电导率越高，同样的电场可以推动更大的电流；反过来，如果把电流源强看作固定，为维持同样电流所需的电场会更小。实际舰船的腐蚀电流本身也会随环境变化，因此“盐度越高，场一定越大或越小”不能只靠一个比例关系判断。</w:t>
      </w:r>
    </w:p>
    <w:p w14:paraId="0D7E097F">
      <w:pPr>
        <w:widowControl/>
      </w:pPr>
      <w:r>
        <w:rPr>
          <w:rFonts w:ascii="Calibri" w:hAnsi="Calibri" w:eastAsia="微软雅黑"/>
        </w:rPr>
        <w:t>海水电导率不仅与盐度有关，还与现场温度和压力有关。TEOS-10 的官方工具以实用盐度、温度和海压共同计算电导率；在实用盐度35、15℃、海压0 dbar附近，参考电导率约为4.2914 S/m [1]。</w:t>
      </w:r>
    </w:p>
    <w:p w14:paraId="09E54BBD">
      <w:pPr>
        <w:pStyle w:val="4"/>
      </w:pPr>
      <w:r>
        <w:t>1.2 舰船为什么像一节“弱电池”</w:t>
      </w:r>
    </w:p>
    <w:p w14:paraId="7D375E3D">
      <w:pPr>
        <w:widowControl/>
      </w:pPr>
      <w:r>
        <w:rPr>
          <w:rFonts w:ascii="Calibri" w:hAnsi="Calibri" w:eastAsia="微软雅黑"/>
        </w:rPr>
        <w:t>船体、螺旋桨、轴系和防腐装置通常采用不同材料。不同金属浸在海水中会形成电化学电位差；涂层破损处、螺旋桨表面、牺牲阳极或外加电流阴极保护装置之间，会出现微弱的电流通路。电流从一部分表面进入海水，再从另一部分表面返回，于是船周围形成电位差和电场。</w:t>
      </w:r>
    </w:p>
    <w:p w14:paraId="175AC92B">
      <w:pPr>
        <w:pStyle w:val="166"/>
        <w:pBdr>
          <w:left w:val="single" w:color="D99B2B" w:sz="18" w:space="8"/>
        </w:pBdr>
        <w:shd w:val="clear" w:fill="FFF7E6"/>
      </w:pPr>
      <w:r>
        <w:rPr>
          <w:rFonts w:ascii="Calibri" w:hAnsi="Calibri" w:eastAsia="微软雅黑"/>
          <w:b/>
          <w:color w:val="0B2545"/>
          <w:sz w:val="21"/>
        </w:rPr>
        <w:t>容易混淆的地方：</w:t>
      </w:r>
      <w:r>
        <w:rPr>
          <w:rFonts w:ascii="Calibri" w:hAnsi="Calibri" w:eastAsia="微软雅黑"/>
          <w:color w:val="0B2545"/>
          <w:sz w:val="21"/>
        </w:rPr>
        <w:t>工程上常说“舰船静电场”，更准确的理解是“腐蚀相关的准静态电场”。它主要来自持续或缓慢变化的导电电流，而不是物体表面积累了大量静止电荷。</w:t>
      </w:r>
    </w:p>
    <w:p w14:paraId="0F0D443C">
      <w:pPr>
        <w:widowControl/>
      </w:pPr>
      <w:r>
        <w:rPr>
          <w:rFonts w:ascii="Calibri" w:hAnsi="Calibri" w:eastAsia="微软雅黑"/>
        </w:rPr>
        <w:t>试验与研究表明，船体涂层状况、螺旋桨材料、阴极保护电流、海水环境和目标航行状态都会影响场强 [3][6]。因此，只知道吨位和尺寸，并不能唯一恢复一艘真实舰船的电场。</w:t>
      </w:r>
    </w:p>
    <w:p w14:paraId="660E9AC2">
      <w:pPr>
        <w:pStyle w:val="3"/>
      </w:pPr>
      <w:r>
        <w:t>2. 静电场仿真的原理</w:t>
      </w:r>
    </w:p>
    <w:p w14:paraId="701265BF">
      <w:pPr>
        <w:pStyle w:val="4"/>
      </w:pPr>
      <w:r>
        <w:t>2.1 从点电流源开始理解</w:t>
      </w:r>
    </w:p>
    <w:p w14:paraId="1A504DEE">
      <w:pPr>
        <w:widowControl/>
      </w:pPr>
      <w:r>
        <w:rPr>
          <w:rFonts w:ascii="Calibri" w:hAnsi="Calibri" w:eastAsia="微软雅黑"/>
        </w:rPr>
        <w:t>先想象海水中有一个很小的电极，持续向四周送出电流 I。在无限、均匀海水中，电流像水波一样向球面扩散，离电极越远，单位面积分到的电流越少。其电位可以写成：</w:t>
      </w:r>
    </w:p>
    <w:p w14:paraId="7A765EC9">
      <w:pPr>
        <w:pStyle w:val="165"/>
      </w:pPr>
      <w:r>
        <w:rPr>
          <w:rFonts w:ascii="Cambria Math" w:hAnsi="Cambria Math" w:eastAsia="微软雅黑"/>
          <w:color w:val="0B2545"/>
          <w:sz w:val="24"/>
        </w:rPr>
        <w:t>φ(r) = I / (4πσr)</w:t>
      </w:r>
    </w:p>
    <w:p w14:paraId="3232EE78">
      <w:pPr>
        <w:spacing w:after="120"/>
        <w:jc w:val="center"/>
      </w:pPr>
      <w:r>
        <w:rPr>
          <w:rFonts w:ascii="Calibri" w:hAnsi="Calibri" w:eastAsia="微软雅黑"/>
          <w:i/>
          <w:color w:val="667085"/>
          <w:sz w:val="19"/>
        </w:rPr>
        <w:t>φ 为电位（V），I 为源电流（A），r 为到源的距离（m）。</w:t>
      </w:r>
    </w:p>
    <w:p w14:paraId="36382F06">
      <w:pPr>
        <w:widowControl/>
      </w:pPr>
      <w:r>
        <w:rPr>
          <w:rFonts w:ascii="Calibri" w:hAnsi="Calibri" w:eastAsia="微软雅黑"/>
        </w:rPr>
        <w:t>电场是电位随空间变化的快慢。对理想点源求梯度后，场强大致按 1/r² 衰减。但真实舰船不会只向海水“凭空送出电流”，电流最终还要从另一个位置返回，因此远处看到的更像一对等量、方向相反的源和汇。</w:t>
      </w:r>
    </w:p>
    <w:p w14:paraId="17593269">
      <w:pPr>
        <w:pStyle w:val="4"/>
      </w:pPr>
      <w:r>
        <w:t>2.2 等效电流偶极子</w:t>
      </w:r>
    </w:p>
    <w:p w14:paraId="3D68EFFB">
      <w:pPr>
        <w:widowControl/>
      </w:pPr>
      <w:r>
        <w:rPr>
          <w:rFonts w:ascii="Calibri" w:hAnsi="Calibri" w:eastAsia="微软雅黑"/>
        </w:rPr>
        <w:t>把一个电流源和一个电流汇靠得很近，就得到“电流偶极子”。它由一个矢量 p 描述：方向从回流端指向出流端，大小等于电流乘以两端的等效间距。复杂船体可以用一个偶极子做粗略近似，也可以用多个偶极子、点源或电流线提高精度 [2][3][7]。</w:t>
      </w:r>
    </w:p>
    <w:p w14:paraId="20B37932">
      <w:pPr>
        <w:pStyle w:val="165"/>
      </w:pPr>
      <w:r>
        <w:rPr>
          <w:rFonts w:ascii="Cambria Math" w:hAnsi="Cambria Math" w:eastAsia="微软雅黑"/>
          <w:color w:val="0B2545"/>
          <w:sz w:val="24"/>
        </w:rPr>
        <w:t>p = I · d</w:t>
      </w:r>
    </w:p>
    <w:p w14:paraId="41B27E51">
      <w:pPr>
        <w:spacing w:after="120"/>
        <w:jc w:val="center"/>
      </w:pPr>
      <w:r>
        <w:rPr>
          <w:rFonts w:ascii="Calibri" w:hAnsi="Calibri" w:eastAsia="微软雅黑"/>
          <w:i/>
          <w:color w:val="667085"/>
          <w:sz w:val="19"/>
        </w:rPr>
        <w:t>p 为电流偶极矩（A·m），I 为等效电流，d 为等效源—汇间距。</w:t>
      </w:r>
    </w:p>
    <w:p w14:paraId="47B8414F">
      <w:pPr>
        <w:pStyle w:val="165"/>
      </w:pPr>
      <w:r>
        <w:rPr>
          <w:rFonts w:ascii="Cambria Math" w:hAnsi="Cambria Math" w:eastAsia="微软雅黑"/>
          <w:color w:val="0B2545"/>
          <w:sz w:val="24"/>
        </w:rPr>
        <w:t>φ(r) = (p · r) / (4πσr³)</w:t>
      </w:r>
    </w:p>
    <w:p w14:paraId="15EFC93D">
      <w:pPr>
        <w:spacing w:after="120"/>
        <w:jc w:val="center"/>
      </w:pPr>
      <w:r>
        <w:rPr>
          <w:rFonts w:ascii="Calibri" w:hAnsi="Calibri" w:eastAsia="微软雅黑"/>
          <w:i/>
          <w:color w:val="667085"/>
          <w:sz w:val="19"/>
        </w:rPr>
        <w:t>“·”表示点积，它说明电位不仅与距离有关，也与观测方向有关。</w:t>
      </w:r>
    </w:p>
    <w:p w14:paraId="507D992B">
      <w:pPr>
        <w:pStyle w:val="165"/>
      </w:pPr>
      <w:r>
        <w:rPr>
          <w:rFonts w:ascii="Cambria Math" w:hAnsi="Cambria Math" w:eastAsia="微软雅黑"/>
          <w:color w:val="0B2545"/>
          <w:sz w:val="24"/>
        </w:rPr>
        <w:t>E(r) = [3r̂(p · r̂) − p] / (4πσr³)</w:t>
      </w:r>
    </w:p>
    <w:p w14:paraId="2BE7FFAE">
      <w:pPr>
        <w:spacing w:after="120"/>
        <w:jc w:val="center"/>
      </w:pPr>
      <w:r>
        <w:rPr>
          <w:rFonts w:ascii="Calibri" w:hAnsi="Calibri" w:eastAsia="微软雅黑"/>
          <w:i/>
          <w:color w:val="667085"/>
          <w:sz w:val="19"/>
        </w:rPr>
        <w:t>r̂ 是从目标指向传感器的单位方向矢量；该式适用于均匀无限导电介质中的理想偶极远场。</w:t>
      </w:r>
    </w:p>
    <w:p w14:paraId="2A103FAB">
      <w:pPr>
        <w:keepNext/>
        <w:spacing w:before="120" w:after="0"/>
        <w:jc w:val="center"/>
      </w:pPr>
      <w:r>
        <w:drawing>
          <wp:inline distT="0" distB="0" distL="114300" distR="114300">
            <wp:extent cx="5715000" cy="3361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0C0D">
      <w:pPr>
        <w:pStyle w:val="164"/>
      </w:pPr>
      <w:r>
        <w:rPr>
          <w:rFonts w:ascii="Calibri" w:hAnsi="Calibri" w:eastAsia="微软雅黑"/>
          <w:color w:val="344054"/>
          <w:sz w:val="19"/>
        </w:rPr>
        <w:t>图2  等效电流偶极子的场线和强弱分布（颜色仅表示相对强弱）</w:t>
      </w:r>
    </w:p>
    <w:p w14:paraId="017B2D97">
      <w:pPr>
        <w:widowControl/>
      </w:pPr>
      <w:r>
        <w:rPr>
          <w:rFonts w:ascii="Calibri" w:hAnsi="Calibri" w:eastAsia="微软雅黑"/>
        </w:rPr>
        <w:t>公式中的 1/r³ 非常重要：距离增大一倍，理想偶极远场可能降到原来的约1/8。方向同样重要——传感器位于目标正前方、侧面或下方，即使距离相同，也可能测到不同的电场方向和大小。</w:t>
      </w:r>
    </w:p>
    <w:p w14:paraId="38F7ACF3">
      <w:pPr>
        <w:keepNext/>
        <w:spacing w:before="120" w:after="0"/>
        <w:jc w:val="center"/>
      </w:pPr>
      <w:r>
        <w:drawing>
          <wp:inline distT="0" distB="0" distL="114300" distR="114300">
            <wp:extent cx="5715000" cy="3220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2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4DE0">
      <w:pPr>
        <w:pStyle w:val="164"/>
      </w:pPr>
      <w:r>
        <w:rPr>
          <w:rFonts w:ascii="Calibri" w:hAnsi="Calibri" w:eastAsia="微软雅黑"/>
          <w:color w:val="344054"/>
          <w:sz w:val="19"/>
        </w:rPr>
        <w:t>图3  理想点源与理想偶极源的距离衰减对比（归一化示意）</w:t>
      </w:r>
    </w:p>
    <w:p w14:paraId="256C5136">
      <w:pPr>
        <w:pStyle w:val="166"/>
        <w:pBdr>
          <w:left w:val="single" w:color="C2413B" w:sz="18" w:space="8"/>
        </w:pBdr>
        <w:shd w:val="clear" w:fill="FFF1F0"/>
      </w:pPr>
      <w:r>
        <w:rPr>
          <w:rFonts w:ascii="Calibri" w:hAnsi="Calibri" w:eastAsia="微软雅黑"/>
          <w:b/>
          <w:color w:val="0B2545"/>
          <w:sz w:val="21"/>
        </w:rPr>
        <w:t>公式适用范围：</w:t>
      </w:r>
      <w:r>
        <w:rPr>
          <w:rFonts w:ascii="Calibri" w:hAnsi="Calibri" w:eastAsia="微软雅黑"/>
          <w:color w:val="0B2545"/>
          <w:sz w:val="21"/>
        </w:rPr>
        <w:t>上述偶极公式把海水看成无限、均匀介质。浅海中的海面、海床和分层电导率会改变场的传播；靠近船体时，船体形状和电极分布也不能再忽略。此时通常采用多偶极子、边界元或有限元模型。</w:t>
      </w:r>
    </w:p>
    <w:p w14:paraId="3441BB96">
      <w:pPr>
        <w:pStyle w:val="4"/>
      </w:pPr>
      <w:r>
        <w:t>2.3 如何从目标参数估算静态源强</w:t>
      </w:r>
    </w:p>
    <w:p w14:paraId="3E684887">
      <w:pPr>
        <w:widowControl/>
      </w:pPr>
      <w:r>
        <w:rPr>
          <w:rFonts w:ascii="Calibri" w:hAnsi="Calibri" w:eastAsia="微软雅黑"/>
        </w:rPr>
        <w:t>没有实测数据时，可以先用目标尺寸估算浸水面积，再用“腐蚀电流密度 × 有效破损面积”估算总电流，最后乘以等效电极间距得到偶极矩。这个过程适合生成合成数据，但不能替代实船标定。</w:t>
      </w:r>
    </w:p>
    <w:p w14:paraId="5B6CDC4C">
      <w:pPr>
        <w:pStyle w:val="165"/>
      </w:pPr>
      <w:r>
        <w:rPr>
          <w:rFonts w:ascii="Cambria Math" w:hAnsi="Cambria Math" w:eastAsia="微软雅黑"/>
          <w:color w:val="0B2545"/>
          <w:sz w:val="24"/>
        </w:rPr>
        <w:t>I_est ≈ j_corr · S_wet · η_damage</w:t>
      </w:r>
    </w:p>
    <w:p w14:paraId="780E81BC">
      <w:pPr>
        <w:spacing w:after="120"/>
        <w:jc w:val="center"/>
      </w:pPr>
      <w:r>
        <w:rPr>
          <w:rFonts w:ascii="Calibri" w:hAnsi="Calibri" w:eastAsia="微软雅黑"/>
          <w:i/>
          <w:color w:val="667085"/>
          <w:sz w:val="19"/>
        </w:rPr>
        <w:t>j_corr 为等效腐蚀电流密度，S_wet 为浸水面积，η_damage 为涂层等效破损比例。</w:t>
      </w:r>
    </w:p>
    <w:p w14:paraId="758FCE7C">
      <w:pPr>
        <w:pStyle w:val="165"/>
      </w:pPr>
      <w:r>
        <w:rPr>
          <w:rFonts w:ascii="Cambria Math" w:hAnsi="Cambria Math" w:eastAsia="微软雅黑"/>
          <w:color w:val="0B2545"/>
          <w:sz w:val="24"/>
        </w:rPr>
        <w:t>p_static ≈ I_est · d_eff</w:t>
      </w:r>
    </w:p>
    <w:p w14:paraId="5399F31F">
      <w:pPr>
        <w:spacing w:after="120"/>
        <w:jc w:val="center"/>
      </w:pPr>
      <w:r>
        <w:rPr>
          <w:rFonts w:ascii="Calibri" w:hAnsi="Calibri" w:eastAsia="微软雅黑"/>
          <w:i/>
          <w:color w:val="667085"/>
          <w:sz w:val="19"/>
        </w:rPr>
        <w:t>d_eff 为等效源与汇之间的距离。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000"/>
        <w:gridCol w:w="4260"/>
      </w:tblGrid>
      <w:tr w14:paraId="3B23A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3162C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参数</w:t>
            </w:r>
          </w:p>
        </w:tc>
        <w:tc>
          <w:tcPr>
            <w:tcW w:w="3000" w:type="dxa"/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B0370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影响</w:t>
            </w:r>
          </w:p>
        </w:tc>
        <w:tc>
          <w:tcPr>
            <w:tcW w:w="4260" w:type="dxa"/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6FB2F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通俗解释</w:t>
            </w:r>
          </w:p>
        </w:tc>
      </w:tr>
      <w:tr w14:paraId="15942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D68A7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吨位、长度、宽度、吃水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E691E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影响浸水面积和源间距估计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17134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目标越大，潜在电化学作用面积通常越大，但不是简单正比</w:t>
            </w:r>
          </w:p>
        </w:tc>
      </w:tr>
      <w:tr w14:paraId="45325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DFDCD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涂层破损比例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7C7E5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直接影响有效腐蚀面积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6EBF8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涂层越完整，裸露金属越少</w:t>
            </w:r>
          </w:p>
        </w:tc>
      </w:tr>
      <w:tr w14:paraId="61D64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2210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腐蚀电流密度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E4864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影响等效电流 I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FA227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反映材料、氧含量和流速等综合作用</w:t>
            </w:r>
          </w:p>
        </w:tc>
      </w:tr>
      <w:tr w14:paraId="7003A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6FD15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阴极保护参数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9C653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改变电流分布和偶极矩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E08F6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保护系统既能抑制腐蚀，也会改变水下电场</w:t>
            </w:r>
          </w:p>
        </w:tc>
      </w:tr>
      <w:tr w14:paraId="7BAF4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A7F85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海水电导率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2238B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影响电位和电流扩散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355AF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由盐度、温度、压力共同决定</w:t>
            </w:r>
          </w:p>
        </w:tc>
      </w:tr>
    </w:tbl>
    <w:p w14:paraId="1A90E92C">
      <w:pPr>
        <w:spacing w:after="40"/>
      </w:pPr>
    </w:p>
    <w:p w14:paraId="59905C10">
      <w:pPr>
        <w:pStyle w:val="3"/>
      </w:pPr>
      <w:r>
        <w:t>3. 轴频电场仿真的原理</w:t>
      </w:r>
    </w:p>
    <w:p w14:paraId="4EBBB754">
      <w:pPr>
        <w:pStyle w:val="4"/>
      </w:pPr>
      <w:r>
        <w:t>3.1 为什么轴转动会产生周期电场</w:t>
      </w:r>
    </w:p>
    <w:p w14:paraId="5F12A8EB">
      <w:pPr>
        <w:widowControl/>
      </w:pPr>
      <w:r>
        <w:rPr>
          <w:rFonts w:ascii="Calibri" w:hAnsi="Calibri" w:eastAsia="微软雅黑"/>
        </w:rPr>
        <w:t>轴频电场不是一套完全独立的“发电机”。更常见的理解是：船体腐蚀和防腐系统先建立了一个电流回路，轴系、轴承、接地刷和滑环等部位的接触状态随轴转动发生周期变化，等效电阻也随之变化，于是原有电流被周期性调制 [4][5]。</w:t>
      </w:r>
    </w:p>
    <w:p w14:paraId="0082FB26">
      <w:pPr>
        <w:pStyle w:val="165"/>
      </w:pPr>
      <w:r>
        <w:rPr>
          <w:rFonts w:ascii="Cambria Math" w:hAnsi="Cambria Math" w:eastAsia="微软雅黑"/>
          <w:color w:val="0B2545"/>
          <w:sz w:val="24"/>
        </w:rPr>
        <w:t>f_s = n / 60</w:t>
      </w:r>
    </w:p>
    <w:p w14:paraId="767F44BA">
      <w:pPr>
        <w:spacing w:after="120"/>
        <w:jc w:val="center"/>
      </w:pPr>
      <w:r>
        <w:rPr>
          <w:rFonts w:ascii="Calibri" w:hAnsi="Calibri" w:eastAsia="微软雅黑"/>
          <w:i/>
          <w:color w:val="667085"/>
          <w:sz w:val="19"/>
        </w:rPr>
        <w:t>f_s 为轴频基波（Hz），n 为轴转速（r/min）。例如120 r/min对应2 Hz。</w:t>
      </w:r>
    </w:p>
    <w:p w14:paraId="7824EF5E">
      <w:pPr>
        <w:pStyle w:val="166"/>
        <w:pBdr>
          <w:left w:val="single" w:color="2E74B5" w:sz="18" w:space="8"/>
        </w:pBdr>
        <w:shd w:val="clear" w:fill="E8F1F8"/>
      </w:pPr>
      <w:r>
        <w:rPr>
          <w:rFonts w:ascii="Calibri" w:hAnsi="Calibri" w:eastAsia="微软雅黑"/>
          <w:b/>
          <w:color w:val="0B2545"/>
          <w:sz w:val="21"/>
        </w:rPr>
        <w:t>轴频和叶频不是一回事：</w:t>
      </w:r>
      <w:r>
        <w:rPr>
          <w:rFonts w:ascii="Calibri" w:hAnsi="Calibri" w:eastAsia="微软雅黑"/>
          <w:color w:val="0B2545"/>
          <w:sz w:val="21"/>
        </w:rPr>
        <w:t>轴频表示轴每转一圈重复一次，f_s = n/60。若螺旋桨有 Z 个叶片，叶片通过频率通常为 f_b = Zf_s。轴频电场分析首先关注轴转基频及其谐波。</w:t>
      </w:r>
    </w:p>
    <w:p w14:paraId="6216C4C9">
      <w:pPr>
        <w:pStyle w:val="4"/>
      </w:pPr>
      <w:r>
        <w:t>3.2 用周期函数表示轴频调制</w:t>
      </w:r>
    </w:p>
    <w:p w14:paraId="503F3D48">
      <w:pPr>
        <w:widowControl/>
      </w:pPr>
      <w:r>
        <w:rPr>
          <w:rFonts w:ascii="Calibri" w:hAnsi="Calibri" w:eastAsia="微软雅黑"/>
        </w:rPr>
        <w:t>最简单的模型把轴频源看成一个随时间作余弦变化的偶极矩。在真实信号中，接触电阻的变化通常不是完美正弦，因此还会出现2倍、3倍等谐波。</w:t>
      </w:r>
    </w:p>
    <w:p w14:paraId="4F9DDECA">
      <w:pPr>
        <w:pStyle w:val="165"/>
      </w:pPr>
      <w:r>
        <w:rPr>
          <w:rFonts w:ascii="Cambria Math" w:hAnsi="Cambria Math" w:eastAsia="微软雅黑"/>
          <w:color w:val="0B2545"/>
          <w:sz w:val="24"/>
        </w:rPr>
        <w:t>p_shaft(t) = p₁cos(2πf_st + φ₁) + p₂cos(4πf_st + φ₂) + p₃cos(6πf_st + φ₃) + …</w:t>
      </w:r>
    </w:p>
    <w:p w14:paraId="4B422F11">
      <w:pPr>
        <w:spacing w:after="120"/>
        <w:jc w:val="center"/>
      </w:pPr>
      <w:r>
        <w:rPr>
          <w:rFonts w:ascii="Calibri" w:hAnsi="Calibri" w:eastAsia="微软雅黑"/>
          <w:i/>
          <w:color w:val="667085"/>
          <w:sz w:val="19"/>
        </w:rPr>
        <w:t>p₁、p₂、p₃ 分别是基波、二次和三次谐波偶极矩；φ 为各分量初相位。</w:t>
      </w:r>
    </w:p>
    <w:p w14:paraId="256617A1">
      <w:pPr>
        <w:pStyle w:val="165"/>
      </w:pPr>
      <w:r>
        <w:rPr>
          <w:rFonts w:ascii="Cambria Math" w:hAnsi="Cambria Math" w:eastAsia="微软雅黑"/>
          <w:color w:val="0B2545"/>
          <w:sz w:val="24"/>
        </w:rPr>
        <w:t>E_shaft(r,t) = G(r,σ) · p_shaft(t)</w:t>
      </w:r>
    </w:p>
    <w:p w14:paraId="2CAF57F3">
      <w:pPr>
        <w:spacing w:after="120"/>
        <w:jc w:val="center"/>
      </w:pPr>
      <w:r>
        <w:rPr>
          <w:rFonts w:ascii="Calibri" w:hAnsi="Calibri" w:eastAsia="微软雅黑"/>
          <w:i/>
          <w:color w:val="667085"/>
          <w:sz w:val="19"/>
        </w:rPr>
        <w:t>G(r,σ) 表示介质和空间位置对源的传播作用；在最简均匀海水模型中由偶极公式给出。</w:t>
      </w:r>
    </w:p>
    <w:p w14:paraId="4AFF01F0">
      <w:pPr>
        <w:keepNext/>
        <w:spacing w:before="120" w:after="0"/>
        <w:jc w:val="center"/>
      </w:pPr>
      <w:r>
        <w:drawing>
          <wp:inline distT="0" distB="0" distL="114300" distR="114300">
            <wp:extent cx="5715000" cy="3899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9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0F05">
      <w:pPr>
        <w:pStyle w:val="164"/>
      </w:pPr>
      <w:r>
        <w:rPr>
          <w:rFonts w:ascii="Calibri" w:hAnsi="Calibri" w:eastAsia="微软雅黑"/>
          <w:color w:val="344054"/>
          <w:sz w:val="19"/>
        </w:rPr>
        <w:t>图4  轴频电场的时域波形和频谱示例（2 Hz基波，含少量谐波）</w:t>
      </w:r>
    </w:p>
    <w:p w14:paraId="0AACAC89">
      <w:pPr>
        <w:widowControl/>
      </w:pPr>
      <w:r>
        <w:rPr>
          <w:rFonts w:ascii="Calibri" w:hAnsi="Calibri" w:eastAsia="微软雅黑"/>
        </w:rPr>
        <w:t>图4中，时域曲线有正有负；频域中则出现2 Hz基波以及4 Hz、6 Hz谐波。实际多轴舰船还要考虑各轴转速和初相位。当不同轴的相位接近相反时，部分方向上的轴频场会互相抵消 [5]。</w:t>
      </w:r>
    </w:p>
    <w:p w14:paraId="4BAF4783">
      <w:pPr>
        <w:pStyle w:val="3"/>
      </w:pPr>
      <w:r>
        <w:t>4. 目标运动如何变成传感器时序</w:t>
      </w:r>
    </w:p>
    <w:p w14:paraId="08E11B6C">
      <w:pPr>
        <w:pStyle w:val="4"/>
      </w:pPr>
      <w:r>
        <w:t>4.1 目标位置和相对位置</w:t>
      </w:r>
    </w:p>
    <w:p w14:paraId="7499C8FF">
      <w:pPr>
        <w:widowControl/>
      </w:pPr>
      <w:r>
        <w:rPr>
          <w:rFonts w:ascii="Calibri" w:hAnsi="Calibri" w:eastAsia="微软雅黑"/>
        </w:rPr>
        <w:t>假设目标做匀速直线运动，初始位置为 r_T0，速度大小为 v，运动方向单位矢量为 v̂。目标在时刻 t 的位置为：</w:t>
      </w:r>
    </w:p>
    <w:p w14:paraId="39FA4B15">
      <w:pPr>
        <w:pStyle w:val="165"/>
      </w:pPr>
      <w:r>
        <w:rPr>
          <w:rFonts w:ascii="Cambria Math" w:hAnsi="Cambria Math" w:eastAsia="微软雅黑"/>
          <w:color w:val="0B2545"/>
          <w:sz w:val="24"/>
        </w:rPr>
        <w:t>r_T(t) = r_T0 + v̂vt</w:t>
      </w:r>
    </w:p>
    <w:p w14:paraId="6E4025C1">
      <w:pPr>
        <w:widowControl/>
      </w:pPr>
      <w:r>
        <w:rPr>
          <w:rFonts w:ascii="Calibri" w:hAnsi="Calibri" w:eastAsia="微软雅黑"/>
        </w:rPr>
        <w:t>传感器位置 r_S 固定不动。真正进入电场公式的是“目标到传感器”的相对矢量：</w:t>
      </w:r>
    </w:p>
    <w:p w14:paraId="23BB9A48">
      <w:pPr>
        <w:pStyle w:val="165"/>
      </w:pPr>
      <w:r>
        <w:rPr>
          <w:rFonts w:ascii="Cambria Math" w:hAnsi="Cambria Math" w:eastAsia="微软雅黑"/>
          <w:color w:val="0B2545"/>
          <w:sz w:val="24"/>
        </w:rPr>
        <w:t>R(t) = r_S − r_T(t)</w:t>
      </w:r>
    </w:p>
    <w:p w14:paraId="7AC031C9">
      <w:pPr>
        <w:spacing w:after="120"/>
        <w:jc w:val="center"/>
      </w:pPr>
      <w:r>
        <w:rPr>
          <w:rFonts w:ascii="Calibri" w:hAnsi="Calibri" w:eastAsia="微软雅黑"/>
          <w:i/>
          <w:color w:val="667085"/>
          <w:sz w:val="19"/>
        </w:rPr>
        <w:t>距离为 |R(t)|，方向为 R(t)/|R(t)|。</w:t>
      </w:r>
    </w:p>
    <w:p w14:paraId="0CA55444">
      <w:pPr>
        <w:widowControl/>
      </w:pPr>
      <w:r>
        <w:rPr>
          <w:rFonts w:ascii="Calibri" w:hAnsi="Calibri" w:eastAsia="微软雅黑"/>
        </w:rPr>
        <w:t>随着目标靠近，距离减小，测得场强通常快速增大；经过最近点后，距离再次增大，场强下降。与此同时，目标相对传感器的方向也在变化，所以 x、y、z 三个分量可能出现不同形状，甚至发生正负翻转。</w:t>
      </w:r>
    </w:p>
    <w:p w14:paraId="45868796">
      <w:pPr>
        <w:keepNext/>
        <w:spacing w:before="120" w:after="0"/>
        <w:jc w:val="center"/>
      </w:pPr>
      <w:r>
        <w:drawing>
          <wp:inline distT="0" distB="0" distL="114300" distR="114300">
            <wp:extent cx="5715000" cy="2603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554B">
      <w:pPr>
        <w:pStyle w:val="164"/>
      </w:pPr>
      <w:r>
        <w:rPr>
          <w:rFonts w:ascii="Calibri" w:hAnsi="Calibri" w:eastAsia="微软雅黑"/>
          <w:color w:val="344054"/>
          <w:sz w:val="19"/>
        </w:rPr>
        <w:t>图5  目标匀速通过固定传感器时的几何关系和归一化时序</w:t>
      </w:r>
    </w:p>
    <w:p w14:paraId="1E889954">
      <w:pPr>
        <w:pStyle w:val="4"/>
      </w:pPr>
      <w:r>
        <w:t>4.2 静态场、轴频场与综合场</w:t>
      </w:r>
    </w:p>
    <w:p w14:paraId="145C0514">
      <w:pPr>
        <w:pStyle w:val="165"/>
      </w:pPr>
      <w:r>
        <w:rPr>
          <w:rFonts w:ascii="Cambria Math" w:hAnsi="Cambria Math" w:eastAsia="微软雅黑"/>
          <w:color w:val="0B2545"/>
          <w:sz w:val="24"/>
        </w:rPr>
        <w:t>E_total(t) = E_static(t) + E_shaft(t)</w:t>
      </w:r>
    </w:p>
    <w:p w14:paraId="6A14960C">
      <w:pPr>
        <w:spacing w:after="120"/>
        <w:jc w:val="center"/>
      </w:pPr>
      <w:r>
        <w:rPr>
          <w:rFonts w:ascii="Calibri" w:hAnsi="Calibri" w:eastAsia="微软雅黑"/>
          <w:i/>
          <w:color w:val="667085"/>
          <w:sz w:val="19"/>
        </w:rPr>
        <w:t>这里是三维矢量直接相加，不是把两个模值简单相加。</w:t>
      </w:r>
    </w:p>
    <w:p w14:paraId="17C87BBC">
      <w:pPr>
        <w:widowControl/>
      </w:pPr>
      <w:r>
        <w:rPr>
          <w:rFonts w:ascii="Calibri" w:hAnsi="Calibri" w:eastAsia="微软雅黑"/>
        </w:rPr>
        <w:t>每个时刻都应先分别计算静态场矢量和轴频场矢量，再逐分量相加得到综合场。最后可以计算矢量模值，用于展示“总强度”。</w:t>
      </w:r>
    </w:p>
    <w:p w14:paraId="126D2A72">
      <w:pPr>
        <w:pStyle w:val="165"/>
      </w:pPr>
      <w:r>
        <w:rPr>
          <w:rFonts w:ascii="Cambria Math" w:hAnsi="Cambria Math" w:eastAsia="微软雅黑"/>
          <w:color w:val="0B2545"/>
          <w:sz w:val="24"/>
        </w:rPr>
        <w:t>|E| = √(E_x² + E_y² + E_z²)</w:t>
      </w:r>
    </w:p>
    <w:p w14:paraId="5A8AD37F">
      <w:pPr>
        <w:pStyle w:val="166"/>
        <w:pBdr>
          <w:left w:val="single" w:color="D99B2B" w:sz="18" w:space="8"/>
        </w:pBdr>
        <w:shd w:val="clear" w:fill="FFF7E6"/>
      </w:pPr>
      <w:r>
        <w:rPr>
          <w:rFonts w:ascii="Calibri" w:hAnsi="Calibri" w:eastAsia="微软雅黑"/>
          <w:b/>
          <w:color w:val="0B2545"/>
          <w:sz w:val="21"/>
        </w:rPr>
        <w:t>做频谱时要注意：</w:t>
      </w:r>
      <w:r>
        <w:rPr>
          <w:rFonts w:ascii="Calibri" w:hAnsi="Calibri" w:eastAsia="微软雅黑"/>
          <w:color w:val="0B2545"/>
          <w:sz w:val="21"/>
        </w:rPr>
        <w:t>电场模值永远不小于0，会把原来波形的负半周期翻到上方，因此可能产生假的倍频。做FFT时应优先使用带正负号的 E_x、E_y 或 E_z 分量，而不是使用 |E|。</w:t>
      </w:r>
    </w:p>
    <w:p w14:paraId="206DA2B1">
      <w:pPr>
        <w:pStyle w:val="3"/>
      </w:pPr>
      <w:r>
        <w:t>5. 一次完整仿真要做什么</w:t>
      </w:r>
    </w:p>
    <w:p w14:paraId="56985E5F">
      <w:pPr>
        <w:keepNext/>
        <w:spacing w:before="120" w:after="0"/>
        <w:jc w:val="center"/>
      </w:pPr>
      <w:r>
        <w:drawing>
          <wp:inline distT="0" distB="0" distL="114300" distR="114300">
            <wp:extent cx="5715000" cy="3333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F71B">
      <w:pPr>
        <w:pStyle w:val="164"/>
      </w:pPr>
      <w:r>
        <w:rPr>
          <w:rFonts w:ascii="Calibri" w:hAnsi="Calibri" w:eastAsia="微软雅黑"/>
          <w:color w:val="344054"/>
          <w:sz w:val="19"/>
        </w:rPr>
        <w:t>图6  水下目标电场仿真的完整流程图</w:t>
      </w:r>
    </w:p>
    <w:p w14:paraId="5131706E">
      <w:pPr>
        <w:pStyle w:val="4"/>
      </w:pPr>
      <w:r>
        <w:t>5.1 输入参数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500"/>
        <w:gridCol w:w="4060"/>
      </w:tblGrid>
      <w:tr w14:paraId="28B31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B4B80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类别</w:t>
            </w:r>
          </w:p>
        </w:tc>
        <w:tc>
          <w:tcPr>
            <w:tcW w:w="3500" w:type="dxa"/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A72D4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典型输入</w:t>
            </w:r>
          </w:p>
        </w:tc>
        <w:tc>
          <w:tcPr>
            <w:tcW w:w="4060" w:type="dxa"/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B8208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作用</w:t>
            </w:r>
          </w:p>
        </w:tc>
      </w:tr>
      <w:tr w14:paraId="1EDC7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C14E3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目标几何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40971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类型、吨位、长度、宽度、吃水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D95EA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估算浸水面积和等效源尺度</w:t>
            </w:r>
          </w:p>
        </w:tc>
      </w:tr>
      <w:tr w14:paraId="69354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B65CF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运动状态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D1B5B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初始位置、航速、航向、俯仰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54528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计算每个时刻的目标位置</w:t>
            </w:r>
          </w:p>
        </w:tc>
      </w:tr>
      <w:tr w14:paraId="3DFA3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1F4FA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轴系状态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95158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轴转速、初相位、谐波比例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76D3B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确定轴频和周期波形</w:t>
            </w:r>
          </w:p>
        </w:tc>
      </w:tr>
      <w:tr w14:paraId="2BCD7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95ADB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海水环境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157B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盐度、温度、压力或实测电导率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60C90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确定导电介质参数</w:t>
            </w:r>
          </w:p>
        </w:tc>
      </w:tr>
      <w:tr w14:paraId="765C9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2DCA3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等效源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C865F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静态偶极矩、腐蚀电流密度、涂层破损率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8F35F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决定场强尺度</w:t>
            </w:r>
          </w:p>
        </w:tc>
      </w:tr>
      <w:tr w14:paraId="6BFB6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B925F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观测设置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8C2FD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传感器位置、时长、采样率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B0FB1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决定输出时序和可分析频率</w:t>
            </w:r>
          </w:p>
        </w:tc>
      </w:tr>
    </w:tbl>
    <w:p w14:paraId="2C4AA6FE">
      <w:pPr>
        <w:spacing w:after="40"/>
      </w:pPr>
    </w:p>
    <w:p w14:paraId="06A9D160">
      <w:pPr>
        <w:pStyle w:val="4"/>
      </w:pPr>
      <w:r>
        <w:t>5.2 逐时刻计算</w:t>
      </w:r>
    </w:p>
    <w:p w14:paraId="42F493A3">
      <w:pPr>
        <w:pStyle w:val="14"/>
      </w:pPr>
      <w:r>
        <w:rPr>
          <w:rFonts w:ascii="Calibri" w:hAnsi="Calibri" w:eastAsia="微软雅黑"/>
        </w:rPr>
        <w:t>根据盐度、温度和压力获得海水电导率，或直接使用实测值。</w:t>
      </w:r>
    </w:p>
    <w:p w14:paraId="03EA2D05">
      <w:pPr>
        <w:pStyle w:val="14"/>
      </w:pPr>
      <w:r>
        <w:rPr>
          <w:rFonts w:ascii="Calibri" w:hAnsi="Calibri" w:eastAsia="微软雅黑"/>
        </w:rPr>
        <w:t>根据目标参数和标定数据确定静态等效偶极矩。</w:t>
      </w:r>
    </w:p>
    <w:p w14:paraId="0A1606ED">
      <w:pPr>
        <w:pStyle w:val="14"/>
      </w:pPr>
      <w:r>
        <w:rPr>
          <w:rFonts w:ascii="Calibri" w:hAnsi="Calibri" w:eastAsia="微软雅黑"/>
        </w:rPr>
        <w:t>根据轴转速、调制比例、谐波和初相位建立轴频源。</w:t>
      </w:r>
    </w:p>
    <w:p w14:paraId="7262E339">
      <w:pPr>
        <w:pStyle w:val="14"/>
      </w:pPr>
      <w:r>
        <w:rPr>
          <w:rFonts w:ascii="Calibri" w:hAnsi="Calibri" w:eastAsia="微软雅黑"/>
        </w:rPr>
        <w:t>按当前时刻更新目标位置，计算目标到传感器的距离和方向。</w:t>
      </w:r>
    </w:p>
    <w:p w14:paraId="252B5C07">
      <w:pPr>
        <w:pStyle w:val="14"/>
      </w:pPr>
      <w:r>
        <w:rPr>
          <w:rFonts w:ascii="Calibri" w:hAnsi="Calibri" w:eastAsia="微软雅黑"/>
        </w:rPr>
        <w:t>用偶极模型分别计算静态场和轴频场的 x、y、z 分量。</w:t>
      </w:r>
    </w:p>
    <w:p w14:paraId="57162E1F">
      <w:pPr>
        <w:pStyle w:val="14"/>
      </w:pPr>
      <w:r>
        <w:rPr>
          <w:rFonts w:ascii="Calibri" w:hAnsi="Calibri" w:eastAsia="微软雅黑"/>
        </w:rPr>
        <w:t>将两个矢量相加，保存综合场、距离、目标位置和轴频。</w:t>
      </w:r>
    </w:p>
    <w:p w14:paraId="554D97C5">
      <w:pPr>
        <w:pStyle w:val="14"/>
      </w:pPr>
      <w:r>
        <w:rPr>
          <w:rFonts w:ascii="Calibri" w:hAnsi="Calibri" w:eastAsia="微软雅黑"/>
        </w:rPr>
        <w:t>推进到下一个采样时刻，直到仿真结束。</w:t>
      </w:r>
    </w:p>
    <w:p w14:paraId="6DF85C58">
      <w:pPr>
        <w:pStyle w:val="4"/>
      </w:pPr>
      <w:r>
        <w:t>5.3 采样率怎么选</w:t>
      </w:r>
    </w:p>
    <w:p w14:paraId="44BC6434">
      <w:pPr>
        <w:widowControl/>
      </w:pPr>
      <w:r>
        <w:rPr>
          <w:rFonts w:ascii="Calibri" w:hAnsi="Calibri" w:eastAsia="微软雅黑"/>
        </w:rPr>
        <w:t>若最高关心频率为 f_max，理论上采样率至少要大于2f_max，这就是奈奎斯特条件。实际为了让波形更平滑、频谱更稳定，常选最高分析频率的5～10倍。例如轴频2 Hz、希望观察到三次谐波6 Hz，可以选择20～50 Hz采样率。</w:t>
      </w:r>
    </w:p>
    <w:p w14:paraId="19863F80">
      <w:pPr>
        <w:pStyle w:val="165"/>
      </w:pPr>
      <w:r>
        <w:rPr>
          <w:rFonts w:ascii="Cambria Math" w:hAnsi="Cambria Math" w:eastAsia="微软雅黑"/>
          <w:color w:val="0B2545"/>
          <w:sz w:val="24"/>
        </w:rPr>
        <w:t>f_sample &gt; 2f_max</w:t>
      </w:r>
    </w:p>
    <w:p w14:paraId="2CDD5AA1">
      <w:pPr>
        <w:pStyle w:val="3"/>
      </w:pPr>
      <w:r>
        <w:t>6. 一个通俗的仿真示例</w:t>
      </w:r>
    </w:p>
    <w:p w14:paraId="2E78AB58">
      <w:pPr>
        <w:widowControl/>
      </w:pPr>
      <w:r>
        <w:rPr>
          <w:rFonts w:ascii="Calibri" w:hAnsi="Calibri" w:eastAsia="微软雅黑"/>
        </w:rPr>
        <w:t>假设一艘水面舰船以8 m/s匀速通过固定水下传感器。下面参数只用于演示波形生成流程，不代表某一真实舰船。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800"/>
        <w:gridCol w:w="3860"/>
      </w:tblGrid>
      <w:tr w14:paraId="33B00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00" w:type="dxa"/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57237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参数</w:t>
            </w:r>
          </w:p>
        </w:tc>
        <w:tc>
          <w:tcPr>
            <w:tcW w:w="2800" w:type="dxa"/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3CED6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示例值</w:t>
            </w:r>
          </w:p>
        </w:tc>
        <w:tc>
          <w:tcPr>
            <w:tcW w:w="3860" w:type="dxa"/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5BA50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说明</w:t>
            </w:r>
          </w:p>
        </w:tc>
      </w:tr>
      <w:tr w14:paraId="62B81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5AB6A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排水吨位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DD38B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5000 t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86798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用于几何尺度和浸水面积估计</w:t>
            </w:r>
          </w:p>
        </w:tc>
      </w:tr>
      <w:tr w14:paraId="34ADC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ADD7F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长度 × 宽度 × 吃水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839FA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100 m × 15 m × 5 m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C229F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简化目标外形</w:t>
            </w:r>
          </w:p>
        </w:tc>
      </w:tr>
      <w:tr w14:paraId="54D16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C97A7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航速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949FF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8 m/s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071B1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目标做匀速直线运动</w:t>
            </w:r>
          </w:p>
        </w:tc>
      </w:tr>
      <w:tr w14:paraId="47DD6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218DE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轴转速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2FAEF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120 r/min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4F6D4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轴频基波为2 Hz</w:t>
            </w:r>
          </w:p>
        </w:tc>
      </w:tr>
      <w:tr w14:paraId="76D48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42E3E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海水环境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10289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盐度35，温度18℃，压力30 dbar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FC436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用于估算电导率</w:t>
            </w:r>
          </w:p>
        </w:tc>
      </w:tr>
      <w:tr w14:paraId="52153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2A5F3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传感器位置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9BE01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(0, 0, -30) m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AD336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水下30米</w:t>
            </w:r>
          </w:p>
        </w:tc>
      </w:tr>
      <w:tr w14:paraId="5B784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A104A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仿真时长与采样率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27389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75 s，20 Hz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9C97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共1501个采样点</w:t>
            </w:r>
          </w:p>
        </w:tc>
      </w:tr>
    </w:tbl>
    <w:p w14:paraId="1EDE2116">
      <w:pPr>
        <w:spacing w:after="40"/>
      </w:pPr>
    </w:p>
    <w:p w14:paraId="71C37517">
      <w:pPr>
        <w:widowControl/>
      </w:pPr>
      <w:r>
        <w:rPr>
          <w:rFonts w:ascii="Calibri" w:hAnsi="Calibri" w:eastAsia="微软雅黑"/>
        </w:rPr>
        <w:t>输出结果应至少包含：每个采样时刻、目标位置、目标到传感器的距离、静态场三分量、轴频场三分量、综合场三分量、各矢量模值以及轴频基波。前端可据此绘制时序、航迹、距离—场强曲线和频谱。</w:t>
      </w:r>
    </w:p>
    <w:p w14:paraId="2D2DBDA4">
      <w:pPr>
        <w:pStyle w:val="3"/>
      </w:pPr>
      <w:r>
        <w:t>7. 如何判断仿真结果是否合理</w:t>
      </w:r>
    </w:p>
    <w:p w14:paraId="07FF16D1">
      <w:pPr>
        <w:pStyle w:val="16"/>
      </w:pPr>
      <w:r>
        <w:rPr>
          <w:rFonts w:ascii="Calibri" w:hAnsi="Calibri" w:eastAsia="微软雅黑"/>
          <w:b/>
        </w:rPr>
        <w:t>距离趋势：</w:t>
      </w:r>
      <w:r>
        <w:rPr>
          <w:rFonts w:ascii="Calibri" w:hAnsi="Calibri" w:eastAsia="微软雅黑"/>
        </w:rPr>
        <w:t>目标靠近时场强总体增大，远离时总体减小；若完全相反，应检查相对位置和单位。</w:t>
      </w:r>
    </w:p>
    <w:p w14:paraId="450B77A8">
      <w:pPr>
        <w:pStyle w:val="16"/>
      </w:pPr>
      <w:r>
        <w:rPr>
          <w:rFonts w:ascii="Calibri" w:hAnsi="Calibri" w:eastAsia="微软雅黑"/>
          <w:b/>
        </w:rPr>
        <w:t>轴频：</w:t>
      </w:r>
      <w:r>
        <w:rPr>
          <w:rFonts w:ascii="Calibri" w:hAnsi="Calibri" w:eastAsia="微软雅黑"/>
        </w:rPr>
        <w:t>120 r/min 应对应2 Hz；频谱主峰若不在2 Hz附近，应检查转速换算、采样率和FFT输入。</w:t>
      </w:r>
    </w:p>
    <w:p w14:paraId="61E07A77">
      <w:pPr>
        <w:pStyle w:val="16"/>
      </w:pPr>
      <w:r>
        <w:rPr>
          <w:rFonts w:ascii="Calibri" w:hAnsi="Calibri" w:eastAsia="微软雅黑"/>
          <w:b/>
        </w:rPr>
        <w:t>正负号：</w:t>
      </w:r>
      <w:r>
        <w:rPr>
          <w:rFonts w:ascii="Calibri" w:hAnsi="Calibri" w:eastAsia="微软雅黑"/>
        </w:rPr>
        <w:t>分量曲线可以为负，模值不能为负；两者用途不同。</w:t>
      </w:r>
    </w:p>
    <w:p w14:paraId="060B2CF2">
      <w:pPr>
        <w:pStyle w:val="16"/>
      </w:pPr>
      <w:r>
        <w:rPr>
          <w:rFonts w:ascii="Calibri" w:hAnsi="Calibri" w:eastAsia="微软雅黑"/>
          <w:b/>
        </w:rPr>
        <w:t>距离下限：</w:t>
      </w:r>
      <w:r>
        <w:rPr>
          <w:rFonts w:ascii="Calibri" w:hAnsi="Calibri" w:eastAsia="微软雅黑"/>
        </w:rPr>
        <w:t>传感器不能进入等效点源内部；离目标太近时应改用更精细模型。</w:t>
      </w:r>
    </w:p>
    <w:p w14:paraId="60206DB3">
      <w:pPr>
        <w:pStyle w:val="16"/>
      </w:pPr>
      <w:r>
        <w:rPr>
          <w:rFonts w:ascii="Calibri" w:hAnsi="Calibri" w:eastAsia="微软雅黑"/>
          <w:b/>
        </w:rPr>
        <w:t>数量级：</w:t>
      </w:r>
      <w:r>
        <w:rPr>
          <w:rFonts w:ascii="Calibri" w:hAnsi="Calibri" w:eastAsia="微软雅黑"/>
        </w:rPr>
        <w:t>若没有实测偶极矩或电流数据，绝对场强只能看作估计值，不应包装成高精度预测。</w:t>
      </w:r>
    </w:p>
    <w:p w14:paraId="1E62C78F">
      <w:pPr>
        <w:pStyle w:val="16"/>
      </w:pPr>
      <w:r>
        <w:rPr>
          <w:rFonts w:ascii="Calibri" w:hAnsi="Calibri" w:eastAsia="微软雅黑"/>
          <w:b/>
        </w:rPr>
        <w:t>对称性：</w:t>
      </w:r>
      <w:r>
        <w:rPr>
          <w:rFonts w:ascii="Calibri" w:hAnsi="Calibri" w:eastAsia="微软雅黑"/>
        </w:rPr>
        <w:t>单偶极模型的曲线通常较平滑；实测曲线更复杂，可能来自多源、噪声、海床边界和多轴相位。</w:t>
      </w:r>
    </w:p>
    <w:p w14:paraId="699AEC66">
      <w:pPr>
        <w:pStyle w:val="3"/>
      </w:pPr>
      <w:r>
        <w:t>8. 模型能做什么，不能做什么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C5EE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4680" w:type="dxa"/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9DE14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适合</w:t>
            </w:r>
          </w:p>
        </w:tc>
        <w:tc>
          <w:tcPr>
            <w:tcW w:w="4680" w:type="dxa"/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33037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不适合直接宣称</w:t>
            </w:r>
          </w:p>
        </w:tc>
      </w:tr>
      <w:tr w14:paraId="52B7D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C772A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生成算法验证用的合成电场时序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852B2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仅凭吨位和尺寸准确预测某艘实船的绝对场强</w:t>
            </w:r>
          </w:p>
        </w:tc>
      </w:tr>
      <w:tr w14:paraId="68015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A0128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研究距离、方向、速度和轴频对曲线的影响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7A977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替代船模试验、海试或高保真电化学仿真</w:t>
            </w:r>
          </w:p>
        </w:tc>
      </w:tr>
      <w:tr w14:paraId="297BC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98CD4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验证前端绘图、FFT和特征提取流程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CE664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精确处理浅海海面、海床和分层介质边界</w:t>
            </w:r>
          </w:p>
        </w:tc>
      </w:tr>
      <w:tr w14:paraId="34201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C7888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作为多偶极子、边界元、有限元模型的入门基线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31599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在传感器极靠近船体时仍保持偶极远场精度</w:t>
            </w:r>
          </w:p>
        </w:tc>
      </w:tr>
    </w:tbl>
    <w:p w14:paraId="71AFF9B7">
      <w:pPr>
        <w:spacing w:after="40"/>
      </w:pPr>
    </w:p>
    <w:p w14:paraId="03611D95">
      <w:pPr>
        <w:pStyle w:val="166"/>
        <w:pBdr>
          <w:left w:val="single" w:color="2E74B5" w:sz="18" w:space="8"/>
        </w:pBdr>
        <w:shd w:val="clear" w:fill="E8F1F8"/>
      </w:pPr>
      <w:r>
        <w:rPr>
          <w:rFonts w:ascii="Calibri" w:hAnsi="Calibri" w:eastAsia="微软雅黑"/>
          <w:b/>
          <w:color w:val="0B2545"/>
          <w:sz w:val="21"/>
        </w:rPr>
        <w:t>工程化建议：</w:t>
      </w:r>
      <w:r>
        <w:rPr>
          <w:rFonts w:ascii="Calibri" w:hAnsi="Calibri" w:eastAsia="微软雅黑"/>
          <w:color w:val="0B2545"/>
          <w:sz w:val="21"/>
        </w:rPr>
        <w:t>若要把模型用于定量评估，应优先获取实测电位/电场数据，反演等效偶极矩和轴频谐波参数；若关注近场细节、涂层分布、阴极保护或浅海边界，应升级为多偶极子、边界元或有限元模型。</w:t>
      </w:r>
    </w:p>
    <w:p w14:paraId="56187406">
      <w:pPr>
        <w:pStyle w:val="3"/>
      </w:pPr>
      <w:r>
        <w:t>9. 常用术语小词典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6860"/>
      </w:tblGrid>
      <w:tr w14:paraId="1FF8E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746F0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术语</w:t>
            </w:r>
          </w:p>
        </w:tc>
        <w:tc>
          <w:tcPr>
            <w:tcW w:w="6860" w:type="dxa"/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9DAE6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通俗解释</w:t>
            </w:r>
          </w:p>
        </w:tc>
      </w:tr>
      <w:tr w14:paraId="06B67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C2AE3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电位 φ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D108E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某一点所处的“电压水平”，两个位置的电位差可以推动电流</w:t>
            </w:r>
          </w:p>
        </w:tc>
      </w:tr>
      <w:tr w14:paraId="25534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563C8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电场 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0033D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电位在空间中变化的快慢和方向，单位通常为 V/m 或 μV/m</w:t>
            </w:r>
          </w:p>
        </w:tc>
      </w:tr>
      <w:tr w14:paraId="15239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20196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电导率 σ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5A4F7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海水导电能力，单位 S/m</w:t>
            </w:r>
          </w:p>
        </w:tc>
      </w:tr>
      <w:tr w14:paraId="24020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F984D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电流偶极矩 p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3835A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用“电流大小 × 源汇间距”概括复杂电流分布的矢量</w:t>
            </w:r>
          </w:p>
        </w:tc>
      </w:tr>
      <w:tr w14:paraId="2168F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EC3EB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静电场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586C1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由持续或缓慢变化的腐蚀/防腐电流形成的准静态场</w:t>
            </w:r>
          </w:p>
        </w:tc>
      </w:tr>
      <w:tr w14:paraId="2D9A1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2D68E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轴频电场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B0C9B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轴系周期变化对原</w:t>
            </w:r>
            <w:bookmarkStart w:id="0" w:name="_GoBack"/>
            <w:bookmarkEnd w:id="0"/>
            <w:r>
              <w:rPr>
                <w:rFonts w:ascii="Calibri" w:hAnsi="Calibri" w:eastAsia="微软雅黑"/>
                <w:color w:val="344054"/>
                <w:sz w:val="19"/>
              </w:rPr>
              <w:t>有电流回路调制后产生的周期电场</w:t>
            </w:r>
          </w:p>
        </w:tc>
      </w:tr>
      <w:tr w14:paraId="5719B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6407B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基波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C2561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信号中与轴转一圈相对应的最低主要频率</w:t>
            </w:r>
          </w:p>
        </w:tc>
      </w:tr>
      <w:tr w14:paraId="780F8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1ACE9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谐波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83473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基波频率整数倍处的周期分量</w:t>
            </w:r>
          </w:p>
        </w:tc>
      </w:tr>
      <w:tr w14:paraId="3F81A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63958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时域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FACC6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观察信号随时间怎么变化</w:t>
            </w:r>
          </w:p>
        </w:tc>
      </w:tr>
      <w:tr w14:paraId="00F1B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33019"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344054"/>
                <w:sz w:val="19"/>
              </w:rPr>
              <w:t>频域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74374">
            <w:pPr>
              <w:spacing w:after="0"/>
              <w:jc w:val="left"/>
            </w:pPr>
            <w:r>
              <w:rPr>
                <w:rFonts w:ascii="Calibri" w:hAnsi="Calibri" w:eastAsia="微软雅黑"/>
                <w:color w:val="344054"/>
                <w:sz w:val="19"/>
              </w:rPr>
              <w:t>观察信号由哪些频率成分组成</w:t>
            </w:r>
          </w:p>
        </w:tc>
      </w:tr>
    </w:tbl>
    <w:p w14:paraId="18794B23">
      <w:pPr>
        <w:spacing w:after="40"/>
      </w:pPr>
    </w:p>
    <w:p w14:paraId="7AA5F346">
      <w:pPr>
        <w:pStyle w:val="3"/>
      </w:pPr>
      <w:r>
        <w:t>参考文献</w:t>
      </w:r>
    </w:p>
    <w:p w14:paraId="34A206BA">
      <w:pPr>
        <w:pStyle w:val="14"/>
        <w:ind w:left="547" w:hanging="274"/>
      </w:pPr>
      <w:r>
        <w:rPr>
          <w:rFonts w:ascii="Calibri" w:hAnsi="Calibri" w:eastAsia="微软雅黑"/>
          <w:color w:val="344054"/>
          <w:sz w:val="19"/>
        </w:rPr>
        <w:t>McDougall, T. J., Barker, P. M. Notes on the GSW function gsw_C_from_SP: conductivity from Practical Salinity, in-situ temperature and pressure. TEOS-10/GSW Oceanographic Toolbox, 2011. https://www.teos-10.org/pubs/gsw/pdf/C_from_SP.pdf （访问日期：2026-07-28）</w:t>
      </w:r>
    </w:p>
    <w:p w14:paraId="0A9F6F18">
      <w:pPr>
        <w:pStyle w:val="14"/>
        <w:ind w:left="547" w:hanging="274"/>
      </w:pPr>
      <w:r>
        <w:rPr>
          <w:rFonts w:ascii="Calibri" w:hAnsi="Calibri" w:eastAsia="微软雅黑"/>
          <w:color w:val="344054"/>
          <w:sz w:val="19"/>
        </w:rPr>
        <w:t>Sun, Q., Jiang, R.-X., Yu, P. Inversion of the Equivalent Electric Dipole Moment of Ship’s Corrosion-Related Static Electric Field in Frequency Domain. Mathematical Problems in Engineering, 2020, Article 3486082. https://doi.org/10.1155/2020/3486082</w:t>
      </w:r>
    </w:p>
    <w:p w14:paraId="78392194">
      <w:pPr>
        <w:pStyle w:val="14"/>
        <w:ind w:left="547" w:hanging="274"/>
      </w:pPr>
      <w:r>
        <w:rPr>
          <w:rFonts w:ascii="Calibri" w:hAnsi="Calibri" w:eastAsia="微软雅黑"/>
          <w:color w:val="344054"/>
          <w:sz w:val="19"/>
        </w:rPr>
        <w:t>Wang, X., Xu, Q., Zhang, J. Simulating Underwater Electric Field Signal of Ship Using the Boundary Element Method. Progress In Electromagnetics Research M, 2018, 76: 43-54. https://doi.org/10.2528/PIERM18092706</w:t>
      </w:r>
    </w:p>
    <w:p w14:paraId="6EB3AD89">
      <w:pPr>
        <w:pStyle w:val="14"/>
        <w:ind w:left="547" w:hanging="274"/>
      </w:pPr>
      <w:r>
        <w:rPr>
          <w:rFonts w:ascii="Calibri" w:hAnsi="Calibri" w:eastAsia="微软雅黑"/>
          <w:color w:val="344054"/>
          <w:sz w:val="19"/>
        </w:rPr>
        <w:t>Zhang, A., Zhang, H., Cheng, Z. Shaft-ground Active Compensation Technology of the Ship Shaft-rate Electric Field. Chinese Journal of Ship Research, 2016, 11(2): 121-126. https://doi.org/10.3969/j.issn.1673-3185.2016.02.017</w:t>
      </w:r>
    </w:p>
    <w:p w14:paraId="2EC54A10">
      <w:pPr>
        <w:pStyle w:val="14"/>
        <w:ind w:left="547" w:hanging="274"/>
      </w:pPr>
      <w:r>
        <w:rPr>
          <w:rFonts w:ascii="Calibri" w:hAnsi="Calibri" w:eastAsia="微软雅黑"/>
          <w:color w:val="344054"/>
          <w:sz w:val="19"/>
        </w:rPr>
        <w:t>Wang, X., Wang, S., Hu, Y., Tong, Y. Mixed Electric Field of Multi-Shaft Ship Based on Oxygen Mass Transfer Process under Turbulent Conditions. Electronics, 2022, 11(22): 3684. https://doi.org/10.3390/electronics11223684</w:t>
      </w:r>
    </w:p>
    <w:p w14:paraId="48D53D99">
      <w:pPr>
        <w:pStyle w:val="14"/>
        <w:ind w:left="547" w:hanging="274"/>
      </w:pPr>
      <w:r>
        <w:rPr>
          <w:rFonts w:ascii="Calibri" w:hAnsi="Calibri" w:eastAsia="微软雅黑"/>
          <w:color w:val="344054"/>
          <w:sz w:val="19"/>
        </w:rPr>
        <w:t>Yang, P., Yang, J., Jiang, R. Underwater Potential Characteristics of Static Electric Field Related to Ship Corrosion. Journal of Unmanned Undersea Systems, 2023, 31(4): 545-551. https://doi.org/10.11993/j.issn.2096-3920.2023-0056</w:t>
      </w:r>
    </w:p>
    <w:p w14:paraId="259CA281">
      <w:pPr>
        <w:pStyle w:val="14"/>
        <w:ind w:left="547" w:hanging="274"/>
      </w:pPr>
      <w:r>
        <w:rPr>
          <w:rFonts w:ascii="Calibri" w:hAnsi="Calibri" w:eastAsia="微软雅黑"/>
          <w:color w:val="344054"/>
          <w:sz w:val="19"/>
        </w:rPr>
        <w:t>Bian, Q., Liu, D. H., Wang, X. J. Research on Underwater Static Electric Field for Warship Based on Hybrid Model. Applied Mechanics and Materials, 2015, 713-715: 925-929. https://doi.org/10.4028/www.scientific.net/AMM.713-715.925</w:t>
      </w:r>
    </w:p>
    <w:p w14:paraId="2BA8F087">
      <w:pPr>
        <w:pStyle w:val="166"/>
        <w:pBdr>
          <w:left w:val="single" w:color="667085" w:sz="18" w:space="8"/>
        </w:pBdr>
        <w:shd w:val="clear" w:fill="F2F4F7"/>
      </w:pPr>
      <w:r>
        <w:rPr>
          <w:rFonts w:ascii="Calibri" w:hAnsi="Calibri" w:eastAsia="微软雅黑"/>
          <w:b/>
          <w:color w:val="0B2545"/>
          <w:sz w:val="21"/>
        </w:rPr>
        <w:t>说明：</w:t>
      </w:r>
      <w:r>
        <w:rPr>
          <w:rFonts w:ascii="Calibri" w:hAnsi="Calibri" w:eastAsia="微软雅黑"/>
          <w:color w:val="0B2545"/>
          <w:sz w:val="21"/>
        </w:rPr>
        <w:t>本文中的示意图和仿真曲线均为原创绘制，用于解释原理；归一化图不代表特定舰船的实测幅值。公式采用均匀导电介质和等效源近似，详细工程建模应以原始文献、实测数据和具体边界条件为准。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F06129">
    <w:pPr>
      <w:pStyle w:val="24"/>
      <w:jc w:val="right"/>
    </w:pPr>
    <w:r>
      <w:rPr>
        <w:rFonts w:ascii="Calibri" w:hAnsi="Calibri" w:eastAsia="微软雅黑"/>
        <w:color w:val="667085"/>
        <w:sz w:val="18"/>
      </w:rPr>
      <w:t xml:space="preserve">第 </w:t>
    </w:r>
    <w:r>
      <w:rPr>
        <w:rFonts w:ascii="Calibri" w:hAnsi="Calibri" w:eastAsia="微软雅黑"/>
        <w:color w:val="667085"/>
        <w:sz w:val="18"/>
      </w:rPr>
      <w:fldChar w:fldCharType="begin"/>
    </w:r>
    <w:r>
      <w:rPr>
        <w:rFonts w:ascii="Calibri" w:hAnsi="Calibri" w:eastAsia="微软雅黑"/>
        <w:color w:val="667085"/>
        <w:sz w:val="18"/>
      </w:rPr>
      <w:instrText xml:space="preserve"> PAGE </w:instrText>
    </w:r>
    <w:r>
      <w:rPr>
        <w:rFonts w:ascii="Calibri" w:hAnsi="Calibri" w:eastAsia="微软雅黑"/>
        <w:color w:val="667085"/>
        <w:sz w:val="18"/>
      </w:rPr>
      <w:fldChar w:fldCharType="separate"/>
    </w:r>
    <w:r>
      <w:rPr>
        <w:rFonts w:ascii="Calibri" w:hAnsi="Calibri" w:eastAsia="微软雅黑"/>
        <w:color w:val="667085"/>
        <w:sz w:val="18"/>
      </w:rPr>
      <w:t>1</w:t>
    </w:r>
    <w:r>
      <w:rPr>
        <w:rFonts w:ascii="Calibri" w:hAnsi="Calibri" w:eastAsia="微软雅黑"/>
        <w:color w:val="667085"/>
        <w:sz w:val="18"/>
      </w:rPr>
      <w:fldChar w:fldCharType="end"/>
    </w:r>
    <w:r>
      <w:rPr>
        <w:rFonts w:ascii="Calibri" w:hAnsi="Calibri" w:eastAsia="微软雅黑"/>
        <w:color w:val="667085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27D025">
    <w:pPr>
      <w:pStyle w:val="25"/>
      <w:jc w:val="left"/>
    </w:pPr>
    <w:r>
      <w:rPr>
        <w:rFonts w:ascii="Calibri" w:hAnsi="Calibri" w:eastAsia="微软雅黑"/>
        <w:b/>
        <w:color w:val="667085"/>
        <w:sz w:val="18"/>
      </w:rPr>
      <w:t>水下目标电场仿真原理说明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0A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360"/>
    </w:pPr>
    <w:rPr>
      <w:rFonts w:asciiTheme="majorHAnsi" w:hAnsiTheme="majorHAnsi" w:eastAsiaTheme="majorEastAsia" w:cstheme="majorBidi"/>
      <w:i/>
      <w:iCs/>
      <w:color w:val="1F4D78"/>
      <w:spacing w:val="15"/>
      <w:sz w:val="28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b/>
      <w:color w:val="0B2545"/>
      <w:spacing w:val="5"/>
      <w:kern w:val="28"/>
      <w:sz w:val="5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Figure Caption"/>
    <w:qFormat/>
    <w:uiPriority w:val="0"/>
    <w:pPr>
      <w:keepNext w:val="0"/>
      <w:spacing w:before="80" w:after="160" w:line="276" w:lineRule="auto"/>
      <w:jc w:val="center"/>
    </w:pPr>
    <w:rPr>
      <w:rFonts w:ascii="Calibri" w:hAnsi="Calibri" w:eastAsia="微软雅黑" w:cstheme="minorBidi"/>
      <w:color w:val="344054"/>
      <w:sz w:val="19"/>
      <w:szCs w:val="22"/>
      <w:lang w:val="en-US" w:eastAsia="en-US" w:bidi="ar-SA"/>
    </w:rPr>
  </w:style>
  <w:style w:type="paragraph" w:customStyle="1" w:styleId="165">
    <w:name w:val="Equation"/>
    <w:qFormat/>
    <w:uiPriority w:val="0"/>
    <w:pPr>
      <w:spacing w:before="120" w:after="120" w:line="276" w:lineRule="auto"/>
      <w:jc w:val="center"/>
    </w:pPr>
    <w:rPr>
      <w:rFonts w:ascii="Cambria Math" w:hAnsi="Cambria Math" w:eastAsia="微软雅黑" w:cstheme="minorBidi"/>
      <w:color w:val="0B2545"/>
      <w:sz w:val="24"/>
      <w:szCs w:val="22"/>
      <w:lang w:val="en-US" w:eastAsia="en-US" w:bidi="ar-SA"/>
    </w:rPr>
  </w:style>
  <w:style w:type="paragraph" w:customStyle="1" w:styleId="166">
    <w:name w:val="Callout"/>
    <w:qFormat/>
    <w:uiPriority w:val="0"/>
    <w:pPr>
      <w:spacing w:before="120" w:after="160" w:line="288" w:lineRule="auto"/>
      <w:ind w:left="259" w:right="259"/>
    </w:pPr>
    <w:rPr>
      <w:rFonts w:ascii="Calibri" w:hAnsi="Calibri" w:eastAsia="微软雅黑" w:cstheme="minorBidi"/>
      <w:color w:val="0B2545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962</Words>
  <Characters>1003</Characters>
  <Lines>0</Lines>
  <Paragraphs>0</Paragraphs>
  <TotalTime>56</TotalTime>
  <ScaleCrop>false</ScaleCrop>
  <LinksUpToDate>false</LinksUpToDate>
  <CharactersWithSpaces>1019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兔子</dc:creator>
  <dc:description>generated by python-docx</dc:description>
  <cp:keywords>水下电场; 静电场; 轴频电场; 电流偶极子; 仿真</cp:keywords>
  <cp:lastModifiedBy>兔子</cp:lastModifiedBy>
  <dcterms:modified xsi:type="dcterms:W3CDTF">2026-07-28T07:33:49Z</dcterms:modified>
  <dc:subject>静电场、轴频电场、等效偶极子与运动目标仿真</dc:subject>
  <dc:title>水下目标静电场与轴频电场仿真原理说明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eyJoZGlkIjoiNDMxOTUwOTA1NmRhNDEyNWExOWRmNzhlNzljNjE5YzgiLCJ1c2VySWQiOiI0MTYwMTQwNzIifQ==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565FE6C5436846559AD7B133E8ECE5B9_12</vt:lpwstr>
  </property>
</Properties>
</file>