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0206C">
      <w:pPr>
        <w:spacing w:after="1680"/>
      </w:pPr>
    </w:p>
    <w:p w14:paraId="46859367">
      <w:pPr>
        <w:spacing w:after="360"/>
        <w:jc w:val="center"/>
      </w:pPr>
      <w:r>
        <w:rPr>
          <w:rFonts w:ascii="Calibri" w:hAnsi="Calibri" w:eastAsia="微软雅黑"/>
          <w:b/>
          <w:color w:val="2E74B5"/>
          <w:sz w:val="22"/>
        </w:rPr>
        <w:t>技术原理 · 模型审阅 · 可运行示例</w:t>
      </w:r>
    </w:p>
    <w:p w14:paraId="703E5FC9">
      <w:pPr>
        <w:pStyle w:val="31"/>
        <w:jc w:val="center"/>
      </w:pPr>
      <w:r>
        <w:rPr>
          <w:rFonts w:ascii="Calibri" w:hAnsi="Calibri" w:eastAsia="微软雅黑"/>
          <w:b/>
          <w:color w:val="1F4D78"/>
          <w:sz w:val="58"/>
        </w:rPr>
        <w:t>水下光学成像模型</w:t>
      </w:r>
    </w:p>
    <w:p w14:paraId="36AF32A8">
      <w:pPr>
        <w:pStyle w:val="26"/>
        <w:jc w:val="center"/>
      </w:pPr>
      <w:r>
        <w:rPr>
          <w:rFonts w:ascii="Calibri" w:hAnsi="Calibri" w:eastAsia="微软雅黑"/>
          <w:color w:val="66707B"/>
          <w:sz w:val="30"/>
        </w:rPr>
        <w:t>从 Jaffe–McGlamery 三分量模型到 MATLAB 数值演示</w:t>
      </w:r>
    </w:p>
    <w:p w14:paraId="2EC4454C">
      <w:pPr>
        <w:spacing w:before="360" w:after="1360"/>
        <w:jc w:val="center"/>
      </w:pPr>
      <w:r>
        <w:rPr>
          <w:rFonts w:ascii="Calibri" w:hAnsi="Calibri" w:eastAsia="宋体"/>
          <w:color w:val="2E74B5"/>
          <w:sz w:val="20"/>
        </w:rPr>
        <w:t>━━━━━━━━━━━━━━━━━━━━━━━━━━━━</w:t>
      </w:r>
    </w:p>
    <w:p w14:paraId="776A777F">
      <w:pPr>
        <w:spacing w:after="160"/>
        <w:jc w:val="center"/>
      </w:pPr>
      <w:r>
        <w:rPr>
          <w:rFonts w:ascii="Calibri" w:hAnsi="Calibri" w:eastAsia="微软雅黑"/>
          <w:color w:val="1F3142"/>
          <w:sz w:val="21"/>
        </w:rPr>
        <w:t>包括：完整成像链路、公式与假设、模型局限、反演方法、MATLAB 代码和实测演示图</w:t>
      </w:r>
    </w:p>
    <w:p w14:paraId="5C4FD365">
      <w:pPr>
        <w:jc w:val="center"/>
      </w:pPr>
      <w:r>
        <w:rPr>
          <w:rFonts w:ascii="Calibri" w:hAnsi="Calibri" w:eastAsia="宋体"/>
          <w:color w:val="66707B"/>
          <w:sz w:val="20"/>
        </w:rPr>
        <w:t>2026 年 09 月 01 日</w:t>
      </w:r>
    </w:p>
    <w:p w14:paraId="5363214E">
      <w:r>
        <w:br w:type="page"/>
      </w:r>
    </w:p>
    <w:p w14:paraId="55027495">
      <w:pPr>
        <w:pStyle w:val="3"/>
      </w:pPr>
      <w:r>
        <w:t>摘要与结论</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0119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360" w:type="dxa"/>
            <w:shd w:val="clear" w:color="auto" w:fill="F4F6F9"/>
            <w:tcMar>
              <w:top w:w="80" w:type="dxa"/>
              <w:left w:w="120" w:type="dxa"/>
              <w:bottom w:w="80" w:type="dxa"/>
              <w:right w:w="120" w:type="dxa"/>
            </w:tcMar>
            <w:vAlign w:val="center"/>
          </w:tcPr>
          <w:p w14:paraId="20F93A9B">
            <w:pPr>
              <w:spacing w:before="80" w:after="80"/>
            </w:pPr>
            <w:r>
              <w:rPr>
                <w:rFonts w:ascii="Calibri" w:hAnsi="Calibri" w:eastAsia="微软雅黑"/>
                <w:b/>
                <w:color w:val="1F4D78"/>
                <w:sz w:val="22"/>
              </w:rPr>
              <w:t xml:space="preserve">结论  </w:t>
            </w:r>
            <w:r>
              <w:rPr>
                <w:rFonts w:ascii="Calibri" w:hAnsi="Calibri" w:eastAsia="宋体"/>
                <w:color w:val="1F3142"/>
                <w:sz w:val="22"/>
              </w:rPr>
              <w:t>原图给出的“直接分量 + 前向散射 + 后向散射”框架在概念上正确，但不是完整的可计算物理模型。若用于算法说明，至少应补充光谱/颜色通道依赖、主动照明双程路径、空间变化散射核、后向散射路径积分、相机响应与噪声，并清楚标注均匀水体、线性 RGB、小视场等假设。</w:t>
            </w:r>
          </w:p>
        </w:tc>
      </w:tr>
    </w:tbl>
    <w:p w14:paraId="254B6368">
      <w:pPr>
        <w:spacing w:after="0"/>
      </w:pPr>
    </w:p>
    <w:p w14:paraId="6FE348D0">
      <w:pPr>
        <w:keepLines w:val="0"/>
      </w:pPr>
      <w:r>
        <w:rPr>
          <w:rFonts w:ascii="Calibri" w:hAnsi="Calibri" w:eastAsia="宋体"/>
          <w:color w:val="1F3142"/>
          <w:sz w:val="22"/>
        </w:rPr>
        <w:t>本文在保留 Jaffe–McGlamery 三分量思想的基础上，将几何投影、水体固有光学量、直接透射、前向散射、后向散射和成像器响应串成一条完整链路。随后给出一个可直接运行的 MATLAB R2021b 示例，用合成清晰场景和逐像素深度图生成水下退化图像，并比较忽略与补偿前向散射时的恢复结果。</w:t>
      </w:r>
    </w:p>
    <w:p w14:paraId="48058499">
      <w:pPr>
        <w:keepLines w:val="0"/>
      </w:pPr>
      <w:r>
        <w:rPr>
          <w:rFonts w:ascii="Calibri" w:hAnsi="Calibri" w:eastAsia="宋体"/>
          <w:color w:val="1F3142"/>
          <w:sz w:val="22"/>
        </w:rPr>
        <w:t>文档边界：示例旨在讲清原理并验证分量关系，不是蒙特卡洛辐射传输求解器，也不用于反演真实水体的唯一参数。</w:t>
      </w:r>
    </w:p>
    <w:p w14:paraId="6F74DA70">
      <w:pPr>
        <w:pStyle w:val="3"/>
      </w:pPr>
      <w:r>
        <w:t>1. 原模型完整性审阅</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0"/>
        <w:gridCol w:w="2760"/>
        <w:gridCol w:w="5020"/>
      </w:tblGrid>
      <w:tr w14:paraId="605E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80" w:type="dxa"/>
            <w:shd w:val="clear" w:color="auto" w:fill="E8EEF5"/>
            <w:tcMar>
              <w:top w:w="80" w:type="dxa"/>
              <w:left w:w="120" w:type="dxa"/>
              <w:bottom w:w="80" w:type="dxa"/>
              <w:right w:w="120" w:type="dxa"/>
            </w:tcMar>
            <w:vAlign w:val="center"/>
          </w:tcPr>
          <w:p w14:paraId="2D11E579">
            <w:pPr>
              <w:jc w:val="center"/>
            </w:pPr>
            <w:r>
              <w:rPr>
                <w:rFonts w:ascii="Calibri" w:hAnsi="Calibri" w:eastAsia="微软雅黑"/>
                <w:b/>
                <w:color w:val="1F4D78"/>
                <w:sz w:val="20"/>
              </w:rPr>
              <w:t>环节</w:t>
            </w:r>
          </w:p>
        </w:tc>
        <w:tc>
          <w:tcPr>
            <w:tcW w:w="2760" w:type="dxa"/>
            <w:shd w:val="clear" w:color="auto" w:fill="E8EEF5"/>
            <w:tcMar>
              <w:top w:w="80" w:type="dxa"/>
              <w:left w:w="120" w:type="dxa"/>
              <w:bottom w:w="80" w:type="dxa"/>
              <w:right w:w="120" w:type="dxa"/>
            </w:tcMar>
            <w:vAlign w:val="center"/>
          </w:tcPr>
          <w:p w14:paraId="3B152F4E">
            <w:pPr>
              <w:jc w:val="center"/>
            </w:pPr>
            <w:r>
              <w:rPr>
                <w:rFonts w:ascii="Calibri" w:hAnsi="Calibri" w:eastAsia="微软雅黑"/>
                <w:b/>
                <w:color w:val="1F4D78"/>
                <w:sz w:val="20"/>
              </w:rPr>
              <w:t>原图已有内容</w:t>
            </w:r>
          </w:p>
        </w:tc>
        <w:tc>
          <w:tcPr>
            <w:tcW w:w="5020" w:type="dxa"/>
            <w:shd w:val="clear" w:color="auto" w:fill="E8EEF5"/>
            <w:tcMar>
              <w:top w:w="80" w:type="dxa"/>
              <w:left w:w="120" w:type="dxa"/>
              <w:bottom w:w="80" w:type="dxa"/>
              <w:right w:w="120" w:type="dxa"/>
            </w:tcMar>
            <w:vAlign w:val="center"/>
          </w:tcPr>
          <w:p w14:paraId="68BB9AB3">
            <w:pPr>
              <w:jc w:val="center"/>
            </w:pPr>
            <w:r>
              <w:rPr>
                <w:rFonts w:ascii="Calibri" w:hAnsi="Calibri" w:eastAsia="微软雅黑"/>
                <w:b/>
                <w:color w:val="1F4D78"/>
                <w:sz w:val="20"/>
              </w:rPr>
              <w:t>需要补充或修正</w:t>
            </w:r>
          </w:p>
        </w:tc>
      </w:tr>
      <w:tr w14:paraId="3A81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tcMar>
              <w:top w:w="80" w:type="dxa"/>
              <w:left w:w="120" w:type="dxa"/>
              <w:bottom w:w="80" w:type="dxa"/>
              <w:right w:w="120" w:type="dxa"/>
            </w:tcMar>
            <w:vAlign w:val="center"/>
          </w:tcPr>
          <w:p w14:paraId="478C97AD">
            <w:pPr>
              <w:spacing w:after="40"/>
            </w:pPr>
            <w:r>
              <w:rPr>
                <w:rFonts w:ascii="Calibri" w:hAnsi="Calibri" w:eastAsia="宋体"/>
                <w:color w:val="1F3142"/>
                <w:sz w:val="19"/>
              </w:rPr>
              <w:t>几何成像</w:t>
            </w:r>
          </w:p>
        </w:tc>
        <w:tc>
          <w:tcPr>
            <w:tcW w:w="2760" w:type="dxa"/>
            <w:tcMar>
              <w:top w:w="80" w:type="dxa"/>
              <w:left w:w="120" w:type="dxa"/>
              <w:bottom w:w="80" w:type="dxa"/>
              <w:right w:w="120" w:type="dxa"/>
            </w:tcMar>
            <w:vAlign w:val="center"/>
          </w:tcPr>
          <w:p w14:paraId="1EB4ECC6">
            <w:pPr>
              <w:spacing w:after="40"/>
            </w:pPr>
            <w:r>
              <w:rPr>
                <w:rFonts w:ascii="Calibri" w:hAnsi="Calibri" w:eastAsia="宋体"/>
                <w:color w:val="1F3142"/>
                <w:sz w:val="19"/>
              </w:rPr>
              <w:t>针孔投影与外参 R、T</w:t>
            </w:r>
          </w:p>
        </w:tc>
        <w:tc>
          <w:tcPr>
            <w:tcW w:w="5020" w:type="dxa"/>
            <w:tcMar>
              <w:top w:w="80" w:type="dxa"/>
              <w:left w:w="120" w:type="dxa"/>
              <w:bottom w:w="80" w:type="dxa"/>
              <w:right w:w="120" w:type="dxa"/>
            </w:tcMar>
            <w:vAlign w:val="center"/>
          </w:tcPr>
          <w:p w14:paraId="7EA3C463">
            <w:pPr>
              <w:spacing w:after="40"/>
            </w:pPr>
            <w:r>
              <w:rPr>
                <w:rFonts w:ascii="Calibri" w:hAnsi="Calibri" w:eastAsia="宋体"/>
                <w:color w:val="1F3142"/>
                <w:sz w:val="19"/>
              </w:rPr>
              <w:t>内参应包含主点、斜切；需要说明畸变是否校正，尺度因子不能省略。</w:t>
            </w:r>
          </w:p>
        </w:tc>
      </w:tr>
      <w:tr w14:paraId="5868F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tcMar>
              <w:top w:w="80" w:type="dxa"/>
              <w:left w:w="120" w:type="dxa"/>
              <w:bottom w:w="80" w:type="dxa"/>
              <w:right w:w="120" w:type="dxa"/>
            </w:tcMar>
            <w:vAlign w:val="center"/>
          </w:tcPr>
          <w:p w14:paraId="0F4AC6F5">
            <w:pPr>
              <w:spacing w:after="40"/>
            </w:pPr>
            <w:r>
              <w:rPr>
                <w:rFonts w:ascii="Calibri" w:hAnsi="Calibri" w:eastAsia="宋体"/>
                <w:color w:val="1F3142"/>
                <w:sz w:val="19"/>
              </w:rPr>
              <w:t>直接分量</w:t>
            </w:r>
          </w:p>
        </w:tc>
        <w:tc>
          <w:tcPr>
            <w:tcW w:w="2760" w:type="dxa"/>
            <w:tcMar>
              <w:top w:w="80" w:type="dxa"/>
              <w:left w:w="120" w:type="dxa"/>
              <w:bottom w:w="80" w:type="dxa"/>
              <w:right w:w="120" w:type="dxa"/>
            </w:tcMar>
            <w:vAlign w:val="center"/>
          </w:tcPr>
          <w:p w14:paraId="19330069">
            <w:pPr>
              <w:spacing w:after="40"/>
            </w:pPr>
            <w:r>
              <w:rPr>
                <w:rFonts w:ascii="Calibri" w:hAnsi="Calibri" w:eastAsia="宋体"/>
                <w:color w:val="1F3142"/>
                <w:sz w:val="19"/>
              </w:rPr>
              <w:t>Beer–Lambert 指数衰减</w:t>
            </w:r>
          </w:p>
        </w:tc>
        <w:tc>
          <w:tcPr>
            <w:tcW w:w="5020" w:type="dxa"/>
            <w:tcMar>
              <w:top w:w="80" w:type="dxa"/>
              <w:left w:w="120" w:type="dxa"/>
              <w:bottom w:w="80" w:type="dxa"/>
              <w:right w:w="120" w:type="dxa"/>
            </w:tcMar>
            <w:vAlign w:val="center"/>
          </w:tcPr>
          <w:p w14:paraId="1C47914A">
            <w:pPr>
              <w:spacing w:after="40"/>
            </w:pPr>
            <w:r>
              <w:rPr>
                <w:rFonts w:ascii="Calibri" w:hAnsi="Calibri" w:eastAsia="宋体"/>
                <w:color w:val="1F3142"/>
                <w:sz w:val="19"/>
              </w:rPr>
              <w:t>衰减随波长变化；主动照明还包含光源到目标、目标到相机两段路径及几何照度。</w:t>
            </w:r>
          </w:p>
        </w:tc>
      </w:tr>
      <w:tr w14:paraId="79D3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tcMar>
              <w:top w:w="80" w:type="dxa"/>
              <w:left w:w="120" w:type="dxa"/>
              <w:bottom w:w="80" w:type="dxa"/>
              <w:right w:w="120" w:type="dxa"/>
            </w:tcMar>
            <w:vAlign w:val="center"/>
          </w:tcPr>
          <w:p w14:paraId="0D20689F">
            <w:pPr>
              <w:spacing w:after="40"/>
            </w:pPr>
            <w:r>
              <w:rPr>
                <w:rFonts w:ascii="Calibri" w:hAnsi="Calibri" w:eastAsia="宋体"/>
                <w:color w:val="1F3142"/>
                <w:sz w:val="19"/>
              </w:rPr>
              <w:t>前向散射</w:t>
            </w:r>
          </w:p>
        </w:tc>
        <w:tc>
          <w:tcPr>
            <w:tcW w:w="2760" w:type="dxa"/>
            <w:tcMar>
              <w:top w:w="80" w:type="dxa"/>
              <w:left w:w="120" w:type="dxa"/>
              <w:bottom w:w="80" w:type="dxa"/>
              <w:right w:w="120" w:type="dxa"/>
            </w:tcMar>
            <w:vAlign w:val="center"/>
          </w:tcPr>
          <w:p w14:paraId="17819246">
            <w:pPr>
              <w:spacing w:after="40"/>
            </w:pPr>
            <w:r>
              <w:rPr>
                <w:rFonts w:ascii="Calibri" w:hAnsi="Calibri" w:eastAsia="宋体"/>
                <w:color w:val="1F3142"/>
                <w:sz w:val="19"/>
              </w:rPr>
              <w:t>用高斯核卷积</w:t>
            </w:r>
          </w:p>
        </w:tc>
        <w:tc>
          <w:tcPr>
            <w:tcW w:w="5020" w:type="dxa"/>
            <w:tcMar>
              <w:top w:w="80" w:type="dxa"/>
              <w:left w:w="120" w:type="dxa"/>
              <w:bottom w:w="80" w:type="dxa"/>
              <w:right w:w="120" w:type="dxa"/>
            </w:tcMar>
            <w:vAlign w:val="center"/>
          </w:tcPr>
          <w:p w14:paraId="780D41FD">
            <w:pPr>
              <w:spacing w:after="40"/>
            </w:pPr>
            <w:r>
              <w:rPr>
                <w:rFonts w:ascii="Calibri" w:hAnsi="Calibri" w:eastAsia="宋体"/>
                <w:color w:val="1F3142"/>
                <w:sz w:val="19"/>
              </w:rPr>
              <w:t>高斯核只是近似；真实 PSF 随距离、波长、水体和视场位置变化，严格写法是空间变积分。</w:t>
            </w:r>
          </w:p>
        </w:tc>
      </w:tr>
      <w:tr w14:paraId="0290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tcMar>
              <w:top w:w="80" w:type="dxa"/>
              <w:left w:w="120" w:type="dxa"/>
              <w:bottom w:w="80" w:type="dxa"/>
              <w:right w:w="120" w:type="dxa"/>
            </w:tcMar>
            <w:vAlign w:val="center"/>
          </w:tcPr>
          <w:p w14:paraId="59B35E3A">
            <w:pPr>
              <w:spacing w:after="40"/>
            </w:pPr>
            <w:r>
              <w:rPr>
                <w:rFonts w:ascii="Calibri" w:hAnsi="Calibri" w:eastAsia="宋体"/>
                <w:color w:val="1F3142"/>
                <w:sz w:val="19"/>
              </w:rPr>
              <w:t>后向散射</w:t>
            </w:r>
          </w:p>
        </w:tc>
        <w:tc>
          <w:tcPr>
            <w:tcW w:w="2760" w:type="dxa"/>
            <w:tcMar>
              <w:top w:w="80" w:type="dxa"/>
              <w:left w:w="120" w:type="dxa"/>
              <w:bottom w:w="80" w:type="dxa"/>
              <w:right w:w="120" w:type="dxa"/>
            </w:tcMar>
            <w:vAlign w:val="center"/>
          </w:tcPr>
          <w:p w14:paraId="7A007517">
            <w:pPr>
              <w:spacing w:after="40"/>
            </w:pPr>
            <w:r>
              <w:rPr>
                <w:rFonts w:ascii="Calibri" w:hAnsi="Calibri" w:eastAsia="宋体"/>
                <w:color w:val="1F3142"/>
                <w:sz w:val="19"/>
              </w:rPr>
              <w:t>距离增长并趋于饱和</w:t>
            </w:r>
          </w:p>
        </w:tc>
        <w:tc>
          <w:tcPr>
            <w:tcW w:w="5020" w:type="dxa"/>
            <w:tcMar>
              <w:top w:w="80" w:type="dxa"/>
              <w:left w:w="120" w:type="dxa"/>
              <w:bottom w:w="80" w:type="dxa"/>
              <w:right w:w="120" w:type="dxa"/>
            </w:tcMar>
            <w:vAlign w:val="center"/>
          </w:tcPr>
          <w:p w14:paraId="52AE2FDA">
            <w:pPr>
              <w:spacing w:after="40"/>
            </w:pPr>
            <w:r>
              <w:rPr>
                <w:rFonts w:ascii="Calibri" w:hAnsi="Calibri" w:eastAsia="宋体"/>
                <w:color w:val="1F3142"/>
                <w:sz w:val="19"/>
              </w:rPr>
              <w:t>应从视线方向的路径辐亮度积分出发；饱和式仅适用于近似均匀水体和简化照明。</w:t>
            </w:r>
          </w:p>
        </w:tc>
      </w:tr>
      <w:tr w14:paraId="33D0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tcMar>
              <w:top w:w="80" w:type="dxa"/>
              <w:left w:w="120" w:type="dxa"/>
              <w:bottom w:w="80" w:type="dxa"/>
              <w:right w:w="120" w:type="dxa"/>
            </w:tcMar>
            <w:vAlign w:val="center"/>
          </w:tcPr>
          <w:p w14:paraId="3B0D22A0">
            <w:pPr>
              <w:spacing w:after="40"/>
            </w:pPr>
            <w:r>
              <w:rPr>
                <w:rFonts w:ascii="Calibri" w:hAnsi="Calibri" w:eastAsia="宋体"/>
                <w:color w:val="1F3142"/>
                <w:sz w:val="19"/>
              </w:rPr>
              <w:t>参数关系</w:t>
            </w:r>
          </w:p>
        </w:tc>
        <w:tc>
          <w:tcPr>
            <w:tcW w:w="2760" w:type="dxa"/>
            <w:tcMar>
              <w:top w:w="80" w:type="dxa"/>
              <w:left w:w="120" w:type="dxa"/>
              <w:bottom w:w="80" w:type="dxa"/>
              <w:right w:w="120" w:type="dxa"/>
            </w:tcMar>
            <w:vAlign w:val="center"/>
          </w:tcPr>
          <w:p w14:paraId="7976CA1E">
            <w:pPr>
              <w:spacing w:after="40"/>
            </w:pPr>
            <w:r>
              <w:rPr>
                <w:rFonts w:ascii="Calibri" w:hAnsi="Calibri" w:eastAsia="宋体"/>
                <w:color w:val="1F3142"/>
                <w:sz w:val="19"/>
              </w:rPr>
              <w:t>用一个消光系数描述衰减</w:t>
            </w:r>
          </w:p>
        </w:tc>
        <w:tc>
          <w:tcPr>
            <w:tcW w:w="5020" w:type="dxa"/>
            <w:tcMar>
              <w:top w:w="80" w:type="dxa"/>
              <w:left w:w="120" w:type="dxa"/>
              <w:bottom w:w="80" w:type="dxa"/>
              <w:right w:w="120" w:type="dxa"/>
            </w:tcMar>
            <w:vAlign w:val="center"/>
          </w:tcPr>
          <w:p w14:paraId="10E568F2">
            <w:pPr>
              <w:spacing w:after="40"/>
            </w:pPr>
            <w:r>
              <w:rPr>
                <w:rFonts w:ascii="Calibri" w:hAnsi="Calibri" w:eastAsia="宋体"/>
                <w:color w:val="1F3142"/>
                <w:sz w:val="19"/>
              </w:rPr>
              <w:t>吸收 a、散射 b、束衰减 c=a+b 应区分；直接衰减与后向散射的宽带系数通常不相同。</w:t>
            </w:r>
          </w:p>
        </w:tc>
      </w:tr>
      <w:tr w14:paraId="2D34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tcMar>
              <w:top w:w="80" w:type="dxa"/>
              <w:left w:w="120" w:type="dxa"/>
              <w:bottom w:w="80" w:type="dxa"/>
              <w:right w:w="120" w:type="dxa"/>
            </w:tcMar>
            <w:vAlign w:val="center"/>
          </w:tcPr>
          <w:p w14:paraId="38003977">
            <w:pPr>
              <w:spacing w:after="40"/>
            </w:pPr>
            <w:r>
              <w:rPr>
                <w:rFonts w:ascii="Calibri" w:hAnsi="Calibri" w:eastAsia="宋体"/>
                <w:color w:val="1F3142"/>
                <w:sz w:val="19"/>
              </w:rPr>
              <w:t>相机成像</w:t>
            </w:r>
          </w:p>
        </w:tc>
        <w:tc>
          <w:tcPr>
            <w:tcW w:w="2760" w:type="dxa"/>
            <w:tcMar>
              <w:top w:w="80" w:type="dxa"/>
              <w:left w:w="120" w:type="dxa"/>
              <w:bottom w:w="80" w:type="dxa"/>
              <w:right w:w="120" w:type="dxa"/>
            </w:tcMar>
            <w:vAlign w:val="center"/>
          </w:tcPr>
          <w:p w14:paraId="0084AE71">
            <w:pPr>
              <w:spacing w:after="40"/>
            </w:pPr>
            <w:r>
              <w:rPr>
                <w:rFonts w:ascii="Calibri" w:hAnsi="Calibri" w:eastAsia="宋体"/>
                <w:color w:val="1F3142"/>
                <w:sz w:val="19"/>
              </w:rPr>
              <w:t>未显式给出</w:t>
            </w:r>
          </w:p>
        </w:tc>
        <w:tc>
          <w:tcPr>
            <w:tcW w:w="5020" w:type="dxa"/>
            <w:tcMar>
              <w:top w:w="80" w:type="dxa"/>
              <w:left w:w="120" w:type="dxa"/>
              <w:bottom w:w="80" w:type="dxa"/>
              <w:right w:w="120" w:type="dxa"/>
            </w:tcMar>
            <w:vAlign w:val="center"/>
          </w:tcPr>
          <w:p w14:paraId="2FE9414C">
            <w:pPr>
              <w:spacing w:after="40"/>
            </w:pPr>
            <w:r>
              <w:rPr>
                <w:rFonts w:ascii="Calibri" w:hAnsi="Calibri" w:eastAsia="宋体"/>
                <w:color w:val="1F3142"/>
                <w:sz w:val="19"/>
              </w:rPr>
              <w:t>应说明光谱响应、曝光、增益、白平衡、gamma/量化、暗电流和读出噪声。</w:t>
            </w:r>
          </w:p>
        </w:tc>
      </w:tr>
    </w:tbl>
    <w:p w14:paraId="11BA395A">
      <w:pPr>
        <w:spacing w:after="0"/>
      </w:pPr>
    </w:p>
    <w:p w14:paraId="2D058C1B">
      <w:pPr>
        <w:keepLines w:val="0"/>
      </w:pPr>
      <w:r>
        <w:rPr>
          <w:rFonts w:ascii="Calibri" w:hAnsi="Calibri" w:eastAsia="宋体"/>
          <w:color w:val="1F3142"/>
          <w:sz w:val="22"/>
        </w:rPr>
        <w:t>因此，原描述适合作为“概念模型草图”，但若要支持仿真、参数估计或图像复原，需要采用下面的分层模型。</w:t>
      </w:r>
    </w:p>
    <w:p w14:paraId="2A2208D6">
      <w:pPr>
        <w:pStyle w:val="3"/>
      </w:pPr>
      <w:r>
        <w:t>2. 从三维目标到图像坐标</w:t>
      </w:r>
    </w:p>
    <w:p w14:paraId="0966B0B3">
      <w:pPr>
        <w:keepLines w:val="0"/>
      </w:pPr>
      <w:r>
        <w:rPr>
          <w:rFonts w:ascii="Calibri" w:hAnsi="Calibri" w:eastAsia="宋体"/>
          <w:color w:val="1F3142"/>
          <w:sz w:val="22"/>
        </w:rPr>
        <w:t>设空间点的齐次坐标为 P̃，像素齐次坐标为 p̃，针孔相机模型写为：</w:t>
      </w:r>
    </w:p>
    <w:p w14:paraId="29AA2FE7">
      <w:pPr>
        <w:spacing w:before="60" w:after="20"/>
        <w:jc w:val="center"/>
      </w:pPr>
      <w:r>
        <w:drawing>
          <wp:inline distT="0" distB="0" distL="114300" distR="114300">
            <wp:extent cx="4572000" cy="1121410"/>
            <wp:effectExtent l="0" t="0" r="0" b="2540"/>
            <wp:docPr id="1" name="Picture 1" descr="公式（1）：s\tilde{\mathbf p}=\mathbf K[\,\mathbf R\mid\mathbf t\,]\tilde{\mathbf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公式（1）：s\tilde{\mathbf p}=\mathbf K[\,\mathbf R\mid\mathbf t\,]\tilde{\mathbf P}"/>
                    <pic:cNvPicPr>
                      <a:picLocks noChangeAspect="1"/>
                    </pic:cNvPicPr>
                  </pic:nvPicPr>
                  <pic:blipFill>
                    <a:blip r:embed="rId8"/>
                    <a:stretch>
                      <a:fillRect/>
                    </a:stretch>
                  </pic:blipFill>
                  <pic:spPr>
                    <a:xfrm>
                      <a:off x="0" y="0"/>
                      <a:ext cx="4572000" cy="1121636"/>
                    </a:xfrm>
                    <a:prstGeom prst="rect">
                      <a:avLst/>
                    </a:prstGeom>
                  </pic:spPr>
                </pic:pic>
              </a:graphicData>
            </a:graphic>
          </wp:inline>
        </w:drawing>
      </w:r>
    </w:p>
    <w:p w14:paraId="1DF49B76">
      <w:pPr>
        <w:spacing w:after="100"/>
        <w:jc w:val="right"/>
      </w:pPr>
      <w:r>
        <w:rPr>
          <w:rFonts w:ascii="Calibri" w:hAnsi="Calibri" w:eastAsia="宋体"/>
          <w:color w:val="66707B"/>
          <w:sz w:val="19"/>
        </w:rPr>
        <w:t>（1）</w:t>
      </w:r>
    </w:p>
    <w:p w14:paraId="750DDF29">
      <w:pPr>
        <w:keepLines w:val="0"/>
      </w:pPr>
      <w:r>
        <w:rPr>
          <w:rFonts w:ascii="Calibri" w:hAnsi="Calibri" w:eastAsia="宋体"/>
          <w:color w:val="1F3142"/>
          <w:sz w:val="22"/>
        </w:rPr>
        <w:t>其中 K 为相机内参矩阵，R、t 为世界坐标系到相机坐标系的旋转和平移，s 为齐次尺度：</w:t>
      </w:r>
    </w:p>
    <w:p w14:paraId="5FBFB82B">
      <w:pPr>
        <w:spacing w:before="60" w:after="20"/>
        <w:jc w:val="center"/>
      </w:pPr>
      <w:r>
        <w:drawing>
          <wp:inline distT="0" distB="0" distL="114300" distR="114300">
            <wp:extent cx="3383280" cy="1519555"/>
            <wp:effectExtent l="0" t="0" r="7620" b="4445"/>
            <wp:docPr id="2" name="Picture 2" descr="公式（2）：\mathbf K=\begin{bmatrix}f_x&amp;\gamma&amp;c_x\\0&amp;f_y&amp;c_y\\0&amp;0&amp;1\end{b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公式（2）：\mathbf K=\begin{bmatrix}f_x&amp;\gamma&amp;c_x\\0&amp;f_y&amp;c_y\\0&amp;0&amp;1\end{bmatrix}"/>
                    <pic:cNvPicPr>
                      <a:picLocks noChangeAspect="1"/>
                    </pic:cNvPicPr>
                  </pic:nvPicPr>
                  <pic:blipFill>
                    <a:blip r:embed="rId9"/>
                    <a:stretch>
                      <a:fillRect/>
                    </a:stretch>
                  </pic:blipFill>
                  <pic:spPr>
                    <a:xfrm>
                      <a:off x="0" y="0"/>
                      <a:ext cx="3383280" cy="1519932"/>
                    </a:xfrm>
                    <a:prstGeom prst="rect">
                      <a:avLst/>
                    </a:prstGeom>
                  </pic:spPr>
                </pic:pic>
              </a:graphicData>
            </a:graphic>
          </wp:inline>
        </w:drawing>
      </w:r>
    </w:p>
    <w:p w14:paraId="3F06D057">
      <w:pPr>
        <w:spacing w:after="100"/>
        <w:jc w:val="right"/>
      </w:pPr>
      <w:r>
        <w:rPr>
          <w:rFonts w:ascii="Calibri" w:hAnsi="Calibri" w:eastAsia="宋体"/>
          <w:color w:val="66707B"/>
          <w:sz w:val="19"/>
        </w:rPr>
        <w:t>（2）</w:t>
      </w:r>
    </w:p>
    <w:p w14:paraId="4B822B86">
      <w:pPr>
        <w:pStyle w:val="16"/>
      </w:pPr>
      <w:r>
        <w:rPr>
          <w:rFonts w:ascii="Calibri" w:hAnsi="Calibri" w:eastAsia="宋体"/>
          <w:color w:val="1F3142"/>
          <w:sz w:val="22"/>
        </w:rPr>
        <w:t>f_x、f_y 是以像素为单位的等效焦距；c_x、c_y 是主点；γ 是像素轴斜切，一般可近似为 0。</w:t>
      </w:r>
    </w:p>
    <w:p w14:paraId="4C385639">
      <w:pPr>
        <w:pStyle w:val="16"/>
      </w:pPr>
      <w:r>
        <w:rPr>
          <w:rFonts w:ascii="Calibri" w:hAnsi="Calibri" w:eastAsia="宋体"/>
          <w:color w:val="1F3142"/>
          <w:sz w:val="22"/>
        </w:rPr>
        <w:t>若镜头畸变显著，应先应用径向/切向畸变模型，再进入水下光学退化模型。</w:t>
      </w:r>
    </w:p>
    <w:p w14:paraId="0CAF13FF">
      <w:pPr>
        <w:pStyle w:val="16"/>
      </w:pPr>
      <w:r>
        <w:rPr>
          <w:rFonts w:ascii="Calibri" w:hAnsi="Calibri" w:eastAsia="宋体"/>
          <w:color w:val="1F3142"/>
          <w:sz w:val="22"/>
        </w:rPr>
        <w:t>平面玻璃舷窗或水下外壳会引入折射，精密测量时针孔模型应替换为折射相机模型。</w:t>
      </w:r>
    </w:p>
    <w:p w14:paraId="3023EADE">
      <w:pPr>
        <w:pStyle w:val="3"/>
      </w:pPr>
      <w:r>
        <w:t>3. 水下光传播与三分量成像</w:t>
      </w:r>
    </w:p>
    <w:p w14:paraId="4D6671D1">
      <w:pPr>
        <w:keepLines w:val="0"/>
      </w:pPr>
      <w:r>
        <w:rPr>
          <w:rFonts w:ascii="Calibri" w:hAnsi="Calibri" w:eastAsia="宋体"/>
          <w:color w:val="1F3142"/>
          <w:sz w:val="22"/>
        </w:rPr>
        <w:t>以下所有量应在相机线性响应域中定义，颜色通道 c∈{R,G,B}。总观测模型为：</w:t>
      </w:r>
    </w:p>
    <w:p w14:paraId="27BB2986">
      <w:pPr>
        <w:spacing w:before="60" w:after="20"/>
        <w:jc w:val="center"/>
        <w:rPr>
          <w:sz w:val="21"/>
          <w:szCs w:val="21"/>
        </w:rPr>
      </w:pPr>
      <w:r>
        <w:rPr>
          <w:sz w:val="21"/>
          <w:szCs w:val="21"/>
        </w:rPr>
        <w:drawing>
          <wp:inline distT="0" distB="0" distL="114300" distR="114300">
            <wp:extent cx="4436110" cy="440690"/>
            <wp:effectExtent l="0" t="0" r="2540" b="16510"/>
            <wp:docPr id="3" name="Picture 3" descr="公式（3）：I_c(\mathbf x)=D_c(\mathbf x)+F_c(\mathbf x)+B_c(\mathbf x)+n_c(\mathbf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公式（3）：I_c(\mathbf x)=D_c(\mathbf x)+F_c(\mathbf x)+B_c(\mathbf x)+n_c(\mathbf x)"/>
                    <pic:cNvPicPr>
                      <a:picLocks noChangeAspect="1"/>
                    </pic:cNvPicPr>
                  </pic:nvPicPr>
                  <pic:blipFill>
                    <a:blip r:embed="rId10"/>
                    <a:stretch>
                      <a:fillRect/>
                    </a:stretch>
                  </pic:blipFill>
                  <pic:spPr>
                    <a:xfrm>
                      <a:off x="0" y="0"/>
                      <a:ext cx="4436110" cy="440690"/>
                    </a:xfrm>
                    <a:prstGeom prst="rect">
                      <a:avLst/>
                    </a:prstGeom>
                  </pic:spPr>
                </pic:pic>
              </a:graphicData>
            </a:graphic>
          </wp:inline>
        </w:drawing>
      </w:r>
    </w:p>
    <w:p w14:paraId="0C504FBC">
      <w:pPr>
        <w:spacing w:after="100"/>
        <w:jc w:val="right"/>
      </w:pPr>
      <w:r>
        <w:rPr>
          <w:rFonts w:ascii="Calibri" w:hAnsi="Calibri" w:eastAsia="宋体"/>
          <w:color w:val="66707B"/>
          <w:sz w:val="19"/>
        </w:rPr>
        <w:t>（3）</w:t>
      </w:r>
    </w:p>
    <w:p w14:paraId="4E972EAB">
      <w:pPr>
        <w:keepLines w:val="0"/>
      </w:pPr>
      <w:r>
        <w:rPr>
          <w:rFonts w:ascii="Calibri" w:hAnsi="Calibri" w:eastAsia="宋体"/>
          <w:color w:val="1F3142"/>
          <w:sz w:val="22"/>
        </w:rPr>
        <w:t>D 为未发生散射而到达相机的直接分量，F 为目标光发生小角度前向散射形成的模糊分量，B 为水体粒子将环境光或人工光散射进视线的后向分量，n 为噪声。</w:t>
      </w:r>
    </w:p>
    <w:p w14:paraId="108F896C">
      <w:pPr>
        <w:pStyle w:val="4"/>
      </w:pPr>
      <w:r>
        <w:t>3.1 水体固有光学量与透射率</w:t>
      </w:r>
    </w:p>
    <w:p w14:paraId="3A526824">
      <w:pPr>
        <w:keepLines w:val="0"/>
      </w:pPr>
      <w:r>
        <w:rPr>
          <w:rFonts w:ascii="Calibri" w:hAnsi="Calibri" w:eastAsia="宋体"/>
          <w:color w:val="1F3142"/>
          <w:sz w:val="22"/>
        </w:rPr>
        <w:t>吸收系数 a(λ) 和散射系数 b(λ) 的和构成束衰减系数 c(λ)：</w:t>
      </w:r>
    </w:p>
    <w:p w14:paraId="742C5670">
      <w:pPr>
        <w:spacing w:before="60" w:after="20"/>
        <w:jc w:val="center"/>
      </w:pPr>
      <w:r>
        <w:drawing>
          <wp:inline distT="0" distB="0" distL="114300" distR="114300">
            <wp:extent cx="2482850" cy="502285"/>
            <wp:effectExtent l="0" t="0" r="12700" b="12065"/>
            <wp:docPr id="4" name="Picture 4" descr="公式（4）：c(\lambda)=a(\lambda)+b(\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公式（4）：c(\lambda)=a(\lambda)+b(\lambda)"/>
                    <pic:cNvPicPr>
                      <a:picLocks noChangeAspect="1"/>
                    </pic:cNvPicPr>
                  </pic:nvPicPr>
                  <pic:blipFill>
                    <a:blip r:embed="rId11"/>
                    <a:stretch>
                      <a:fillRect/>
                    </a:stretch>
                  </pic:blipFill>
                  <pic:spPr>
                    <a:xfrm>
                      <a:off x="0" y="0"/>
                      <a:ext cx="2482850" cy="502285"/>
                    </a:xfrm>
                    <a:prstGeom prst="rect">
                      <a:avLst/>
                    </a:prstGeom>
                  </pic:spPr>
                </pic:pic>
              </a:graphicData>
            </a:graphic>
          </wp:inline>
        </w:drawing>
      </w:r>
    </w:p>
    <w:p w14:paraId="18E53BEB">
      <w:pPr>
        <w:spacing w:after="100"/>
        <w:jc w:val="right"/>
      </w:pPr>
      <w:r>
        <w:rPr>
          <w:rFonts w:ascii="Calibri" w:hAnsi="Calibri" w:eastAsia="宋体"/>
          <w:color w:val="66707B"/>
          <w:sz w:val="19"/>
        </w:rPr>
        <w:t>（4）</w:t>
      </w:r>
    </w:p>
    <w:p w14:paraId="53E9959B">
      <w:pPr>
        <w:keepLines w:val="0"/>
      </w:pPr>
      <w:r>
        <w:rPr>
          <w:rFonts w:ascii="Calibri" w:hAnsi="Calibri" w:eastAsia="宋体"/>
          <w:color w:val="1F3142"/>
          <w:sz w:val="22"/>
        </w:rPr>
        <w:t>在均匀水体、单次路径且忽略多次散射的 Beer–Lambert 近似下：</w:t>
      </w:r>
    </w:p>
    <w:p w14:paraId="0D4E3483">
      <w:pPr>
        <w:spacing w:before="60" w:after="20"/>
        <w:jc w:val="center"/>
      </w:pPr>
      <w:r>
        <w:drawing>
          <wp:inline distT="0" distB="0" distL="114300" distR="114300">
            <wp:extent cx="2219325" cy="410210"/>
            <wp:effectExtent l="0" t="0" r="9525" b="8890"/>
            <wp:docPr id="5" name="Picture 5" descr="公式（5）：T_\lambda(d)=\exp[-c(\lamb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公式（5）：T_\lambda(d)=\exp[-c(\lambda)d]"/>
                    <pic:cNvPicPr>
                      <a:picLocks noChangeAspect="1"/>
                    </pic:cNvPicPr>
                  </pic:nvPicPr>
                  <pic:blipFill>
                    <a:blip r:embed="rId12"/>
                    <a:stretch>
                      <a:fillRect/>
                    </a:stretch>
                  </pic:blipFill>
                  <pic:spPr>
                    <a:xfrm>
                      <a:off x="0" y="0"/>
                      <a:ext cx="2219325" cy="410210"/>
                    </a:xfrm>
                    <a:prstGeom prst="rect">
                      <a:avLst/>
                    </a:prstGeom>
                  </pic:spPr>
                </pic:pic>
              </a:graphicData>
            </a:graphic>
          </wp:inline>
        </w:drawing>
      </w:r>
    </w:p>
    <w:p w14:paraId="6E0F9989">
      <w:pPr>
        <w:spacing w:after="100"/>
        <w:jc w:val="right"/>
      </w:pPr>
      <w:r>
        <w:rPr>
          <w:rFonts w:ascii="Calibri" w:hAnsi="Calibri" w:eastAsia="宋体"/>
          <w:color w:val="66707B"/>
          <w:sz w:val="19"/>
        </w:rPr>
        <w:t>（5）</w:t>
      </w:r>
    </w:p>
    <w:p w14:paraId="606F81E2">
      <w:pPr>
        <w:keepLines w:val="0"/>
      </w:pPr>
      <w:r>
        <w:rPr>
          <w:rFonts w:ascii="Calibri" w:hAnsi="Calibri" w:eastAsia="宋体"/>
          <w:color w:val="1F3142"/>
          <w:sz w:val="22"/>
        </w:rPr>
        <w:t>红光在多数天然水体中衰减更快，因此远处目标通常偏青蓝。RGB 系数是光谱响应、照明光谱、目标反射率与水体特性的宽带合成量，不应简单当作纯水常数。</w:t>
      </w:r>
    </w:p>
    <w:p w14:paraId="63B779E9">
      <w:pPr>
        <w:pStyle w:val="4"/>
      </w:pPr>
      <w:r>
        <w:t>3.2 直接分量</w:t>
      </w:r>
    </w:p>
    <w:p w14:paraId="2B015B77">
      <w:pPr>
        <w:keepLines w:val="0"/>
      </w:pPr>
      <w:r>
        <w:rPr>
          <w:rFonts w:ascii="Calibri" w:hAnsi="Calibri" w:eastAsia="宋体"/>
          <w:color w:val="1F3142"/>
          <w:sz w:val="22"/>
        </w:rPr>
        <w:t>对被动照明或已将入射照度吸收到 L₀ 的情况，颜色通道的直接信号可写成光谱积分：</w:t>
      </w:r>
    </w:p>
    <w:p w14:paraId="3DE339DD">
      <w:pPr>
        <w:spacing w:before="60" w:after="20"/>
        <w:jc w:val="center"/>
      </w:pPr>
      <w:r>
        <w:drawing>
          <wp:inline distT="0" distB="0" distL="114300" distR="114300">
            <wp:extent cx="3402330" cy="318770"/>
            <wp:effectExtent l="0" t="0" r="7620" b="5080"/>
            <wp:docPr id="6" name="Picture 6" descr="公式（6）：D_c(\mathbf x)=\int S_c(\lambda)L_0(\mathbf x,\lambda)\exp[-c(\lambda)d(\mathbf x)]\,\mathrm d\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公式（6）：D_c(\mathbf x)=\int S_c(\lambda)L_0(\mathbf x,\lambda)\exp[-c(\lambda)d(\mathbf x)]\,\mathrm d\lambda"/>
                    <pic:cNvPicPr>
                      <a:picLocks noChangeAspect="1"/>
                    </pic:cNvPicPr>
                  </pic:nvPicPr>
                  <pic:blipFill>
                    <a:blip r:embed="rId13"/>
                    <a:stretch>
                      <a:fillRect/>
                    </a:stretch>
                  </pic:blipFill>
                  <pic:spPr>
                    <a:xfrm>
                      <a:off x="0" y="0"/>
                      <a:ext cx="3402330" cy="318770"/>
                    </a:xfrm>
                    <a:prstGeom prst="rect">
                      <a:avLst/>
                    </a:prstGeom>
                  </pic:spPr>
                </pic:pic>
              </a:graphicData>
            </a:graphic>
          </wp:inline>
        </w:drawing>
      </w:r>
    </w:p>
    <w:p w14:paraId="14AA2298">
      <w:pPr>
        <w:spacing w:after="100"/>
        <w:jc w:val="right"/>
      </w:pPr>
      <w:r>
        <w:rPr>
          <w:rFonts w:ascii="Calibri" w:hAnsi="Calibri" w:eastAsia="宋体"/>
          <w:color w:val="66707B"/>
          <w:sz w:val="19"/>
        </w:rPr>
        <w:t>（6）</w:t>
      </w:r>
    </w:p>
    <w:p w14:paraId="5D8A8F18">
      <w:pPr>
        <w:keepLines w:val="0"/>
      </w:pPr>
      <w:r>
        <w:rPr>
          <w:rFonts w:ascii="Calibri" w:hAnsi="Calibri" w:eastAsia="宋体"/>
          <w:color w:val="1F3142"/>
          <w:sz w:val="22"/>
        </w:rPr>
        <w:t>S_c(λ) 为相机第 c 通道的光谱敏感度，L₀ 是未经过目标到相机水程衰减时的目标辐亮度。对于灯光与相机分离的主动照明，更完整的近似为：</w:t>
      </w:r>
    </w:p>
    <w:p w14:paraId="6B3AB0FB">
      <w:pPr>
        <w:spacing w:before="60" w:after="20"/>
        <w:jc w:val="center"/>
      </w:pPr>
      <w:r>
        <w:drawing>
          <wp:inline distT="0" distB="0" distL="114300" distR="114300">
            <wp:extent cx="4225290" cy="349885"/>
            <wp:effectExtent l="0" t="0" r="3810" b="12065"/>
            <wp:docPr id="7" name="Picture 7" descr="公式（7）：D_c(\mathbf x)=G_c(\mathbf x)\rho_c(\mathbf x)E_{0,c}\exp\{-c_c[d_s(\mathbf x)+d_c(\mathbf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公式（7）：D_c(\mathbf x)=G_c(\mathbf x)\rho_c(\mathbf x)E_{0,c}\exp\{-c_c[d_s(\mathbf x)+d_c(\mathbf x)]\}"/>
                    <pic:cNvPicPr>
                      <a:picLocks noChangeAspect="1"/>
                    </pic:cNvPicPr>
                  </pic:nvPicPr>
                  <pic:blipFill>
                    <a:blip r:embed="rId14"/>
                    <a:stretch>
                      <a:fillRect/>
                    </a:stretch>
                  </pic:blipFill>
                  <pic:spPr>
                    <a:xfrm>
                      <a:off x="0" y="0"/>
                      <a:ext cx="4225290" cy="349885"/>
                    </a:xfrm>
                    <a:prstGeom prst="rect">
                      <a:avLst/>
                    </a:prstGeom>
                  </pic:spPr>
                </pic:pic>
              </a:graphicData>
            </a:graphic>
          </wp:inline>
        </w:drawing>
      </w:r>
    </w:p>
    <w:p w14:paraId="75FBE925">
      <w:pPr>
        <w:spacing w:after="100"/>
        <w:jc w:val="right"/>
      </w:pPr>
      <w:r>
        <w:rPr>
          <w:rFonts w:ascii="Calibri" w:hAnsi="Calibri" w:eastAsia="宋体"/>
          <w:color w:val="66707B"/>
          <w:sz w:val="19"/>
        </w:rPr>
        <w:t>（7）</w:t>
      </w:r>
    </w:p>
    <w:p w14:paraId="78B89235">
      <w:pPr>
        <w:keepLines w:val="0"/>
      </w:pPr>
      <w:r>
        <w:rPr>
          <w:rFonts w:ascii="Calibri" w:hAnsi="Calibri" w:eastAsia="宋体"/>
          <w:color w:val="1F3142"/>
          <w:sz w:val="22"/>
        </w:rPr>
        <w:t>d_s、d_c 分别为光源到目标和目标到相机的距离；G 包含余弦项、距离平方衰减、光束图案及镜头渐晕；ρ 为目标反射率。原图只写一个 d，会漏掉主动照明的入射水程。</w:t>
      </w:r>
    </w:p>
    <w:p w14:paraId="2ECF47F9">
      <w:pPr>
        <w:pStyle w:val="4"/>
      </w:pPr>
      <w:r>
        <w:t>3.3 前向散射分量</w:t>
      </w:r>
    </w:p>
    <w:p w14:paraId="55024982">
      <w:pPr>
        <w:keepLines w:val="0"/>
      </w:pPr>
      <w:r>
        <w:rPr>
          <w:rFonts w:ascii="Calibri" w:hAnsi="Calibri" w:eastAsia="宋体"/>
          <w:color w:val="1F3142"/>
          <w:sz w:val="22"/>
        </w:rPr>
        <w:t>前向散射主要把邻域目标光重新分配到当前像素，表现为对比度下降、细节模糊和光晕。空间变化的形式可写为：</w:t>
      </w:r>
    </w:p>
    <w:p w14:paraId="68819B58">
      <w:pPr>
        <w:spacing w:before="60" w:after="20"/>
        <w:jc w:val="center"/>
      </w:pPr>
      <w:r>
        <w:drawing>
          <wp:inline distT="0" distB="0" distL="114300" distR="114300">
            <wp:extent cx="5486400" cy="694690"/>
            <wp:effectExtent l="0" t="0" r="0" b="10160"/>
            <wp:docPr id="8" name="Picture 8" descr="公式（8）：F_c(\mathbf x)=\int_{\Omega}D_c(\boldsymbol\xi)h_{c,d(\mathbf x)}(\mathbf x-\boldsymbol\xi)\,\mathrm d\boldsymbol\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公式（8）：F_c(\mathbf x)=\int_{\Omega}D_c(\boldsymbol\xi)h_{c,d(\mathbf x)}(\mathbf x-\boldsymbol\xi)\,\mathrm d\boldsymbol\xi"/>
                    <pic:cNvPicPr>
                      <a:picLocks noChangeAspect="1"/>
                    </pic:cNvPicPr>
                  </pic:nvPicPr>
                  <pic:blipFill>
                    <a:blip r:embed="rId15"/>
                    <a:stretch>
                      <a:fillRect/>
                    </a:stretch>
                  </pic:blipFill>
                  <pic:spPr>
                    <a:xfrm>
                      <a:off x="0" y="0"/>
                      <a:ext cx="5486400" cy="694989"/>
                    </a:xfrm>
                    <a:prstGeom prst="rect">
                      <a:avLst/>
                    </a:prstGeom>
                  </pic:spPr>
                </pic:pic>
              </a:graphicData>
            </a:graphic>
          </wp:inline>
        </w:drawing>
      </w:r>
    </w:p>
    <w:p w14:paraId="65417550">
      <w:pPr>
        <w:spacing w:after="100"/>
        <w:jc w:val="right"/>
      </w:pPr>
      <w:r>
        <w:rPr>
          <w:rFonts w:ascii="Calibri" w:hAnsi="Calibri" w:eastAsia="宋体"/>
          <w:color w:val="66707B"/>
          <w:sz w:val="19"/>
        </w:rPr>
        <w:t>（8）</w:t>
      </w:r>
    </w:p>
    <w:p w14:paraId="3704203E">
      <w:pPr>
        <w:keepLines w:val="0"/>
      </w:pPr>
      <w:r>
        <w:rPr>
          <w:rFonts w:ascii="Calibri" w:hAnsi="Calibri" w:eastAsia="宋体"/>
          <w:color w:val="1F3142"/>
          <w:sz w:val="22"/>
        </w:rPr>
        <w:t>h 是与颜色通道、距离、水体相函数和成像几何有关的点扩散函数（PSF）。只有在小视场、同一深度层且 PSF 近似平移不变时，才可简化为固定高斯卷积。MATLAB 示例采用“分层深度 + 不同 σ 的高斯核”逼近空间变化散射。</w:t>
      </w:r>
    </w:p>
    <w:p w14:paraId="0AECEF39">
      <w:pPr>
        <w:pStyle w:val="4"/>
      </w:pPr>
      <w:r>
        <w:t>3.4 后向散射分量</w:t>
      </w:r>
    </w:p>
    <w:p w14:paraId="7C5CBBAE">
      <w:pPr>
        <w:keepLines w:val="0"/>
      </w:pPr>
      <w:r>
        <w:rPr>
          <w:rFonts w:ascii="Calibri" w:hAnsi="Calibri" w:eastAsia="宋体"/>
          <w:color w:val="1F3142"/>
          <w:sz w:val="22"/>
        </w:rPr>
        <w:t>后向散射来自相机与目标之间整条视线水体，而不是目标表面。一般形式是路径辐亮度积分：</w:t>
      </w:r>
    </w:p>
    <w:p w14:paraId="3DA7097D">
      <w:pPr>
        <w:spacing w:before="60" w:after="20"/>
        <w:jc w:val="center"/>
      </w:pPr>
      <w:r>
        <w:drawing>
          <wp:inline distT="0" distB="0" distL="114300" distR="114300">
            <wp:extent cx="3176905" cy="461645"/>
            <wp:effectExtent l="0" t="0" r="4445" b="14605"/>
            <wp:docPr id="9" name="Picture 9" descr="公式（9）：B_c(\mathbf x)=\int_0^{d(\mathbf x)}q_c(s)\exp(-\beta_c^B s)\,\mathrm 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公式（9）：B_c(\mathbf x)=\int_0^{d(\mathbf x)}q_c(s)\exp(-\beta_c^B s)\,\mathrm ds"/>
                    <pic:cNvPicPr>
                      <a:picLocks noChangeAspect="1"/>
                    </pic:cNvPicPr>
                  </pic:nvPicPr>
                  <pic:blipFill>
                    <a:blip r:embed="rId16"/>
                    <a:stretch>
                      <a:fillRect/>
                    </a:stretch>
                  </pic:blipFill>
                  <pic:spPr>
                    <a:xfrm>
                      <a:off x="0" y="0"/>
                      <a:ext cx="3176905" cy="461645"/>
                    </a:xfrm>
                    <a:prstGeom prst="rect">
                      <a:avLst/>
                    </a:prstGeom>
                  </pic:spPr>
                </pic:pic>
              </a:graphicData>
            </a:graphic>
          </wp:inline>
        </w:drawing>
      </w:r>
    </w:p>
    <w:p w14:paraId="22EF4E8B">
      <w:pPr>
        <w:spacing w:after="100"/>
        <w:jc w:val="right"/>
      </w:pPr>
      <w:r>
        <w:rPr>
          <w:rFonts w:ascii="Calibri" w:hAnsi="Calibri" w:eastAsia="宋体"/>
          <w:color w:val="66707B"/>
          <w:sz w:val="19"/>
        </w:rPr>
        <w:t>（9）</w:t>
      </w:r>
    </w:p>
    <w:p w14:paraId="6DBA4A9E">
      <w:pPr>
        <w:keepLines w:val="0"/>
      </w:pPr>
      <w:r>
        <w:rPr>
          <w:rFonts w:ascii="Calibri" w:hAnsi="Calibri" w:eastAsia="宋体"/>
          <w:color w:val="1F3142"/>
          <w:sz w:val="22"/>
        </w:rPr>
        <w:t>q_c(s) 汇集该位置的照明、体散射函数和几何关系。若水体均匀、照明场近似平稳，可得到常用饱和模型：</w:t>
      </w:r>
    </w:p>
    <w:p w14:paraId="7D37E1EC">
      <w:pPr>
        <w:spacing w:before="60" w:after="20"/>
        <w:jc w:val="center"/>
      </w:pPr>
      <w:r>
        <w:drawing>
          <wp:inline distT="0" distB="0" distL="114300" distR="114300">
            <wp:extent cx="3068320" cy="378460"/>
            <wp:effectExtent l="0" t="0" r="17780" b="2540"/>
            <wp:docPr id="10" name="Picture 10" descr="公式（10）：B_c(\mathbf x)=B_{\infty,c}\{1-\exp[-\beta_c^B d(\mathbf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公式（10）：B_c(\mathbf x)=B_{\infty,c}\{1-\exp[-\beta_c^B d(\mathbf x)]\}"/>
                    <pic:cNvPicPr>
                      <a:picLocks noChangeAspect="1"/>
                    </pic:cNvPicPr>
                  </pic:nvPicPr>
                  <pic:blipFill>
                    <a:blip r:embed="rId17"/>
                    <a:stretch>
                      <a:fillRect/>
                    </a:stretch>
                  </pic:blipFill>
                  <pic:spPr>
                    <a:xfrm>
                      <a:off x="0" y="0"/>
                      <a:ext cx="3068320" cy="378460"/>
                    </a:xfrm>
                    <a:prstGeom prst="rect">
                      <a:avLst/>
                    </a:prstGeom>
                  </pic:spPr>
                </pic:pic>
              </a:graphicData>
            </a:graphic>
          </wp:inline>
        </w:drawing>
      </w:r>
    </w:p>
    <w:p w14:paraId="461297AC">
      <w:pPr>
        <w:spacing w:after="100"/>
        <w:jc w:val="right"/>
      </w:pPr>
      <w:r>
        <w:rPr>
          <w:rFonts w:ascii="Calibri" w:hAnsi="Calibri" w:eastAsia="宋体"/>
          <w:color w:val="66707B"/>
          <w:sz w:val="19"/>
        </w:rPr>
        <w:t>（10）</w:t>
      </w:r>
    </w:p>
    <w:p w14:paraId="7B0CC81B">
      <w:pPr>
        <w:keepLines w:val="0"/>
      </w:pPr>
      <w:r>
        <w:rPr>
          <w:rFonts w:ascii="Calibri" w:hAnsi="Calibri" w:eastAsia="宋体"/>
          <w:color w:val="1F3142"/>
          <w:sz w:val="22"/>
        </w:rPr>
        <w:t>B∞ 是无限远处的渐近水体颜色，βᴮ 是控制后向散射增长的宽带系数。Akkaynak 与 Treibitz 指出，βᴮ 不应强制等于直接信号的衰减系数 βᴰ。</w:t>
      </w:r>
    </w:p>
    <w:p w14:paraId="2F4BF07A">
      <w:pPr>
        <w:pStyle w:val="4"/>
      </w:pPr>
      <w:r>
        <w:t>3.5 相机响应与噪声</w:t>
      </w:r>
    </w:p>
    <w:p w14:paraId="7A764759">
      <w:pPr>
        <w:keepLines w:val="0"/>
      </w:pPr>
      <w:r>
        <w:rPr>
          <w:rFonts w:ascii="Calibri" w:hAnsi="Calibri" w:eastAsia="宋体"/>
          <w:color w:val="1F3142"/>
          <w:sz w:val="22"/>
        </w:rPr>
        <w:t>物理辐亮度经过传感器光谱响应、模拟增益、非线性映射和量化后才成为图像像素：</w:t>
      </w:r>
    </w:p>
    <w:p w14:paraId="68A2DC7C">
      <w:pPr>
        <w:spacing w:before="60" w:after="20"/>
        <w:jc w:val="center"/>
      </w:pPr>
      <w:r>
        <w:drawing>
          <wp:inline distT="0" distB="0" distL="114300" distR="114300">
            <wp:extent cx="3222625" cy="416560"/>
            <wp:effectExtent l="0" t="0" r="15875" b="2540"/>
            <wp:docPr id="11" name="Picture 11" descr="公式（11）：I_c=\mathcal Q\!\left\{g_c\!\left(\int S_c(\lambda)L(\lambda)\,\mathrm d\lambda\right)+\eta_c\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公式（11）：I_c=\mathcal Q\!\left\{g_c\!\left(\int S_c(\lambda)L(\lambda)\,\mathrm d\lambda\right)+\eta_c\right\}"/>
                    <pic:cNvPicPr>
                      <a:picLocks noChangeAspect="1"/>
                    </pic:cNvPicPr>
                  </pic:nvPicPr>
                  <pic:blipFill>
                    <a:blip r:embed="rId18"/>
                    <a:stretch>
                      <a:fillRect/>
                    </a:stretch>
                  </pic:blipFill>
                  <pic:spPr>
                    <a:xfrm>
                      <a:off x="0" y="0"/>
                      <a:ext cx="3222625" cy="416560"/>
                    </a:xfrm>
                    <a:prstGeom prst="rect">
                      <a:avLst/>
                    </a:prstGeom>
                  </pic:spPr>
                </pic:pic>
              </a:graphicData>
            </a:graphic>
          </wp:inline>
        </w:drawing>
      </w:r>
    </w:p>
    <w:p w14:paraId="081459C4">
      <w:pPr>
        <w:spacing w:after="100"/>
        <w:jc w:val="right"/>
      </w:pPr>
      <w:r>
        <w:rPr>
          <w:rFonts w:ascii="Calibri" w:hAnsi="Calibri" w:eastAsia="宋体"/>
          <w:color w:val="66707B"/>
          <w:sz w:val="19"/>
        </w:rPr>
        <w:t>（11）</w:t>
      </w:r>
    </w:p>
    <w:p w14:paraId="4BD00767">
      <w:pPr>
        <w:keepLines w:val="0"/>
      </w:pPr>
      <w:r>
        <w:rPr>
          <w:rFonts w:ascii="Calibri" w:hAnsi="Calibri" w:eastAsia="宋体"/>
          <w:color w:val="1F3142"/>
          <w:sz w:val="22"/>
        </w:rPr>
        <w:t>其中 g_c 表示曝光、增益、白平衡与相机响应曲线，Q 表</w:t>
      </w:r>
      <w:bookmarkStart w:id="0" w:name="_GoBack"/>
      <w:bookmarkEnd w:id="0"/>
      <w:r>
        <w:rPr>
          <w:rFonts w:ascii="Calibri" w:hAnsi="Calibri" w:eastAsia="宋体"/>
          <w:color w:val="1F3142"/>
          <w:sz w:val="22"/>
        </w:rPr>
        <w:t>示量化，η 包含光子散粒噪声、暗电流、读出噪声和压缩误差。进行物理反演前应尽可能使用 RAW 或线性化图像；直接在 sRGB/gamma 域相加减会破坏辐射度关系。</w:t>
      </w:r>
    </w:p>
    <w:p w14:paraId="3CEDB990">
      <w:pPr>
        <w:pStyle w:val="3"/>
      </w:pPr>
      <w:r>
        <w:t>4. 可计算模型、参数与适用范围</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3070"/>
        <w:gridCol w:w="1740"/>
        <w:gridCol w:w="3290"/>
      </w:tblGrid>
      <w:tr w14:paraId="7CCD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60" w:type="dxa"/>
            <w:shd w:val="clear" w:color="auto" w:fill="E8EEF5"/>
            <w:tcMar>
              <w:top w:w="80" w:type="dxa"/>
              <w:left w:w="120" w:type="dxa"/>
              <w:bottom w:w="80" w:type="dxa"/>
              <w:right w:w="120" w:type="dxa"/>
            </w:tcMar>
            <w:vAlign w:val="center"/>
          </w:tcPr>
          <w:p w14:paraId="14731FBD">
            <w:pPr>
              <w:jc w:val="center"/>
            </w:pPr>
            <w:r>
              <w:rPr>
                <w:rFonts w:ascii="Calibri" w:hAnsi="Calibri" w:eastAsia="微软雅黑"/>
                <w:b/>
                <w:color w:val="1F4D78"/>
                <w:sz w:val="20"/>
              </w:rPr>
              <w:t>符号</w:t>
            </w:r>
          </w:p>
        </w:tc>
        <w:tc>
          <w:tcPr>
            <w:tcW w:w="3070" w:type="dxa"/>
            <w:shd w:val="clear" w:color="auto" w:fill="E8EEF5"/>
            <w:tcMar>
              <w:top w:w="80" w:type="dxa"/>
              <w:left w:w="120" w:type="dxa"/>
              <w:bottom w:w="80" w:type="dxa"/>
              <w:right w:w="120" w:type="dxa"/>
            </w:tcMar>
            <w:vAlign w:val="center"/>
          </w:tcPr>
          <w:p w14:paraId="07AF1F5F">
            <w:pPr>
              <w:jc w:val="center"/>
            </w:pPr>
            <w:r>
              <w:rPr>
                <w:rFonts w:ascii="Calibri" w:hAnsi="Calibri" w:eastAsia="微软雅黑"/>
                <w:b/>
                <w:color w:val="1F4D78"/>
                <w:sz w:val="20"/>
              </w:rPr>
              <w:t>物理含义</w:t>
            </w:r>
          </w:p>
        </w:tc>
        <w:tc>
          <w:tcPr>
            <w:tcW w:w="1740" w:type="dxa"/>
            <w:shd w:val="clear" w:color="auto" w:fill="E8EEF5"/>
            <w:tcMar>
              <w:top w:w="80" w:type="dxa"/>
              <w:left w:w="120" w:type="dxa"/>
              <w:bottom w:w="80" w:type="dxa"/>
              <w:right w:w="120" w:type="dxa"/>
            </w:tcMar>
            <w:vAlign w:val="center"/>
          </w:tcPr>
          <w:p w14:paraId="581E4C77">
            <w:pPr>
              <w:jc w:val="center"/>
            </w:pPr>
            <w:r>
              <w:rPr>
                <w:rFonts w:ascii="Calibri" w:hAnsi="Calibri" w:eastAsia="微软雅黑"/>
                <w:b/>
                <w:color w:val="1F4D78"/>
                <w:sz w:val="20"/>
              </w:rPr>
              <w:t>单位/范围</w:t>
            </w:r>
          </w:p>
        </w:tc>
        <w:tc>
          <w:tcPr>
            <w:tcW w:w="3290" w:type="dxa"/>
            <w:shd w:val="clear" w:color="auto" w:fill="E8EEF5"/>
            <w:tcMar>
              <w:top w:w="80" w:type="dxa"/>
              <w:left w:w="120" w:type="dxa"/>
              <w:bottom w:w="80" w:type="dxa"/>
              <w:right w:w="120" w:type="dxa"/>
            </w:tcMar>
            <w:vAlign w:val="center"/>
          </w:tcPr>
          <w:p w14:paraId="7964B69E">
            <w:pPr>
              <w:jc w:val="center"/>
            </w:pPr>
            <w:r>
              <w:rPr>
                <w:rFonts w:ascii="Calibri" w:hAnsi="Calibri" w:eastAsia="微软雅黑"/>
                <w:b/>
                <w:color w:val="1F4D78"/>
                <w:sz w:val="20"/>
              </w:rPr>
              <w:t>获取方式</w:t>
            </w:r>
          </w:p>
        </w:tc>
      </w:tr>
      <w:tr w14:paraId="1824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Mar>
              <w:top w:w="80" w:type="dxa"/>
              <w:left w:w="120" w:type="dxa"/>
              <w:bottom w:w="80" w:type="dxa"/>
              <w:right w:w="120" w:type="dxa"/>
            </w:tcMar>
            <w:vAlign w:val="center"/>
          </w:tcPr>
          <w:p w14:paraId="15B3843F">
            <w:pPr>
              <w:spacing w:after="40"/>
            </w:pPr>
            <w:r>
              <w:rPr>
                <w:rFonts w:ascii="Calibri" w:hAnsi="Calibri" w:eastAsia="宋体"/>
                <w:color w:val="1F3142"/>
                <w:sz w:val="19"/>
              </w:rPr>
              <w:t>d(x)</w:t>
            </w:r>
          </w:p>
        </w:tc>
        <w:tc>
          <w:tcPr>
            <w:tcW w:w="3070" w:type="dxa"/>
            <w:tcMar>
              <w:top w:w="80" w:type="dxa"/>
              <w:left w:w="120" w:type="dxa"/>
              <w:bottom w:w="80" w:type="dxa"/>
              <w:right w:w="120" w:type="dxa"/>
            </w:tcMar>
            <w:vAlign w:val="center"/>
          </w:tcPr>
          <w:p w14:paraId="3258C895">
            <w:pPr>
              <w:spacing w:after="40"/>
            </w:pPr>
            <w:r>
              <w:rPr>
                <w:rFonts w:ascii="Calibri" w:hAnsi="Calibri" w:eastAsia="宋体"/>
                <w:color w:val="1F3142"/>
                <w:sz w:val="19"/>
              </w:rPr>
              <w:t>目标到相机距离</w:t>
            </w:r>
          </w:p>
        </w:tc>
        <w:tc>
          <w:tcPr>
            <w:tcW w:w="1740" w:type="dxa"/>
            <w:tcMar>
              <w:top w:w="80" w:type="dxa"/>
              <w:left w:w="120" w:type="dxa"/>
              <w:bottom w:w="80" w:type="dxa"/>
              <w:right w:w="120" w:type="dxa"/>
            </w:tcMar>
            <w:vAlign w:val="center"/>
          </w:tcPr>
          <w:p w14:paraId="7F3843DB">
            <w:pPr>
              <w:spacing w:after="40"/>
            </w:pPr>
            <w:r>
              <w:rPr>
                <w:rFonts w:ascii="Calibri" w:hAnsi="Calibri" w:eastAsia="宋体"/>
                <w:color w:val="1F3142"/>
                <w:sz w:val="19"/>
              </w:rPr>
              <w:t>m</w:t>
            </w:r>
          </w:p>
        </w:tc>
        <w:tc>
          <w:tcPr>
            <w:tcW w:w="3290" w:type="dxa"/>
            <w:tcMar>
              <w:top w:w="80" w:type="dxa"/>
              <w:left w:w="120" w:type="dxa"/>
              <w:bottom w:w="80" w:type="dxa"/>
              <w:right w:w="120" w:type="dxa"/>
            </w:tcMar>
            <w:vAlign w:val="center"/>
          </w:tcPr>
          <w:p w14:paraId="7B3F1C9A">
            <w:pPr>
              <w:spacing w:after="40"/>
            </w:pPr>
            <w:r>
              <w:rPr>
                <w:rFonts w:ascii="Calibri" w:hAnsi="Calibri" w:eastAsia="宋体"/>
                <w:color w:val="1F3142"/>
                <w:sz w:val="19"/>
              </w:rPr>
              <w:t>双目、结构光、声呐配准、SfM 或已知场景</w:t>
            </w:r>
          </w:p>
        </w:tc>
      </w:tr>
      <w:tr w14:paraId="7DAC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Mar>
              <w:top w:w="80" w:type="dxa"/>
              <w:left w:w="120" w:type="dxa"/>
              <w:bottom w:w="80" w:type="dxa"/>
              <w:right w:w="120" w:type="dxa"/>
            </w:tcMar>
            <w:vAlign w:val="center"/>
          </w:tcPr>
          <w:p w14:paraId="6B791CDB">
            <w:pPr>
              <w:spacing w:after="40"/>
            </w:pPr>
            <w:r>
              <w:rPr>
                <w:rFonts w:ascii="Calibri" w:hAnsi="Calibri" w:eastAsia="宋体"/>
                <w:color w:val="1F3142"/>
                <w:sz w:val="19"/>
              </w:rPr>
              <w:t>βᴰ_c</w:t>
            </w:r>
          </w:p>
        </w:tc>
        <w:tc>
          <w:tcPr>
            <w:tcW w:w="3070" w:type="dxa"/>
            <w:tcMar>
              <w:top w:w="80" w:type="dxa"/>
              <w:left w:w="120" w:type="dxa"/>
              <w:bottom w:w="80" w:type="dxa"/>
              <w:right w:w="120" w:type="dxa"/>
            </w:tcMar>
            <w:vAlign w:val="center"/>
          </w:tcPr>
          <w:p w14:paraId="29A0D312">
            <w:pPr>
              <w:spacing w:after="40"/>
            </w:pPr>
            <w:r>
              <w:rPr>
                <w:rFonts w:ascii="Calibri" w:hAnsi="Calibri" w:eastAsia="宋体"/>
                <w:color w:val="1F3142"/>
                <w:sz w:val="19"/>
              </w:rPr>
              <w:t>直接信号宽带衰减系数</w:t>
            </w:r>
          </w:p>
        </w:tc>
        <w:tc>
          <w:tcPr>
            <w:tcW w:w="1740" w:type="dxa"/>
            <w:tcMar>
              <w:top w:w="80" w:type="dxa"/>
              <w:left w:w="120" w:type="dxa"/>
              <w:bottom w:w="80" w:type="dxa"/>
              <w:right w:w="120" w:type="dxa"/>
            </w:tcMar>
            <w:vAlign w:val="center"/>
          </w:tcPr>
          <w:p w14:paraId="5B21DE7B">
            <w:pPr>
              <w:spacing w:after="40"/>
            </w:pPr>
            <w:r>
              <w:rPr>
                <w:rFonts w:ascii="Calibri" w:hAnsi="Calibri" w:eastAsia="宋体"/>
                <w:color w:val="1F3142"/>
                <w:sz w:val="19"/>
              </w:rPr>
              <w:t>m⁻¹，正数</w:t>
            </w:r>
          </w:p>
        </w:tc>
        <w:tc>
          <w:tcPr>
            <w:tcW w:w="3290" w:type="dxa"/>
            <w:tcMar>
              <w:top w:w="80" w:type="dxa"/>
              <w:left w:w="120" w:type="dxa"/>
              <w:bottom w:w="80" w:type="dxa"/>
              <w:right w:w="120" w:type="dxa"/>
            </w:tcMar>
            <w:vAlign w:val="center"/>
          </w:tcPr>
          <w:p w14:paraId="51B3E4F2">
            <w:pPr>
              <w:spacing w:after="40"/>
            </w:pPr>
            <w:r>
              <w:rPr>
                <w:rFonts w:ascii="Calibri" w:hAnsi="Calibri" w:eastAsia="宋体"/>
                <w:color w:val="1F3142"/>
                <w:sz w:val="19"/>
              </w:rPr>
              <w:t>标定板多距离拟合或联合估计</w:t>
            </w:r>
          </w:p>
        </w:tc>
      </w:tr>
      <w:tr w14:paraId="44EC1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Mar>
              <w:top w:w="80" w:type="dxa"/>
              <w:left w:w="120" w:type="dxa"/>
              <w:bottom w:w="80" w:type="dxa"/>
              <w:right w:w="120" w:type="dxa"/>
            </w:tcMar>
            <w:vAlign w:val="center"/>
          </w:tcPr>
          <w:p w14:paraId="54DA4D23">
            <w:pPr>
              <w:spacing w:after="40"/>
            </w:pPr>
            <w:r>
              <w:rPr>
                <w:rFonts w:ascii="Calibri" w:hAnsi="Calibri" w:eastAsia="宋体"/>
                <w:color w:val="1F3142"/>
                <w:sz w:val="19"/>
              </w:rPr>
              <w:t>βᴮ_c</w:t>
            </w:r>
          </w:p>
        </w:tc>
        <w:tc>
          <w:tcPr>
            <w:tcW w:w="3070" w:type="dxa"/>
            <w:tcMar>
              <w:top w:w="80" w:type="dxa"/>
              <w:left w:w="120" w:type="dxa"/>
              <w:bottom w:w="80" w:type="dxa"/>
              <w:right w:w="120" w:type="dxa"/>
            </w:tcMar>
            <w:vAlign w:val="center"/>
          </w:tcPr>
          <w:p w14:paraId="41BAC330">
            <w:pPr>
              <w:spacing w:after="40"/>
            </w:pPr>
            <w:r>
              <w:rPr>
                <w:rFonts w:ascii="Calibri" w:hAnsi="Calibri" w:eastAsia="宋体"/>
                <w:color w:val="1F3142"/>
                <w:sz w:val="19"/>
              </w:rPr>
              <w:t>后向散射增长系数</w:t>
            </w:r>
          </w:p>
        </w:tc>
        <w:tc>
          <w:tcPr>
            <w:tcW w:w="1740" w:type="dxa"/>
            <w:tcMar>
              <w:top w:w="80" w:type="dxa"/>
              <w:left w:w="120" w:type="dxa"/>
              <w:bottom w:w="80" w:type="dxa"/>
              <w:right w:w="120" w:type="dxa"/>
            </w:tcMar>
            <w:vAlign w:val="center"/>
          </w:tcPr>
          <w:p w14:paraId="540C1B3B">
            <w:pPr>
              <w:spacing w:after="40"/>
            </w:pPr>
            <w:r>
              <w:rPr>
                <w:rFonts w:ascii="Calibri" w:hAnsi="Calibri" w:eastAsia="宋体"/>
                <w:color w:val="1F3142"/>
                <w:sz w:val="19"/>
              </w:rPr>
              <w:t>m⁻¹，正数</w:t>
            </w:r>
          </w:p>
        </w:tc>
        <w:tc>
          <w:tcPr>
            <w:tcW w:w="3290" w:type="dxa"/>
            <w:tcMar>
              <w:top w:w="80" w:type="dxa"/>
              <w:left w:w="120" w:type="dxa"/>
              <w:bottom w:w="80" w:type="dxa"/>
              <w:right w:w="120" w:type="dxa"/>
            </w:tcMar>
            <w:vAlign w:val="center"/>
          </w:tcPr>
          <w:p w14:paraId="1CED4EBA">
            <w:pPr>
              <w:spacing w:after="40"/>
            </w:pPr>
            <w:r>
              <w:rPr>
                <w:rFonts w:ascii="Calibri" w:hAnsi="Calibri" w:eastAsia="宋体"/>
                <w:color w:val="1F3142"/>
                <w:sz w:val="19"/>
              </w:rPr>
              <w:t>暗像素/空水区与距离联合拟合</w:t>
            </w:r>
          </w:p>
        </w:tc>
      </w:tr>
      <w:tr w14:paraId="45F7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Mar>
              <w:top w:w="80" w:type="dxa"/>
              <w:left w:w="120" w:type="dxa"/>
              <w:bottom w:w="80" w:type="dxa"/>
              <w:right w:w="120" w:type="dxa"/>
            </w:tcMar>
            <w:vAlign w:val="center"/>
          </w:tcPr>
          <w:p w14:paraId="58833EFF">
            <w:pPr>
              <w:spacing w:after="40"/>
            </w:pPr>
            <w:r>
              <w:rPr>
                <w:rFonts w:ascii="Calibri" w:hAnsi="Calibri" w:eastAsia="宋体"/>
                <w:color w:val="1F3142"/>
                <w:sz w:val="19"/>
              </w:rPr>
              <w:t>B∞,c</w:t>
            </w:r>
          </w:p>
        </w:tc>
        <w:tc>
          <w:tcPr>
            <w:tcW w:w="3070" w:type="dxa"/>
            <w:tcMar>
              <w:top w:w="80" w:type="dxa"/>
              <w:left w:w="120" w:type="dxa"/>
              <w:bottom w:w="80" w:type="dxa"/>
              <w:right w:w="120" w:type="dxa"/>
            </w:tcMar>
            <w:vAlign w:val="center"/>
          </w:tcPr>
          <w:p w14:paraId="19877453">
            <w:pPr>
              <w:spacing w:after="40"/>
            </w:pPr>
            <w:r>
              <w:rPr>
                <w:rFonts w:ascii="Calibri" w:hAnsi="Calibri" w:eastAsia="宋体"/>
                <w:color w:val="1F3142"/>
                <w:sz w:val="19"/>
              </w:rPr>
              <w:t>渐近后向散射颜色</w:t>
            </w:r>
          </w:p>
        </w:tc>
        <w:tc>
          <w:tcPr>
            <w:tcW w:w="1740" w:type="dxa"/>
            <w:tcMar>
              <w:top w:w="80" w:type="dxa"/>
              <w:left w:w="120" w:type="dxa"/>
              <w:bottom w:w="80" w:type="dxa"/>
              <w:right w:w="120" w:type="dxa"/>
            </w:tcMar>
            <w:vAlign w:val="center"/>
          </w:tcPr>
          <w:p w14:paraId="6C142FD1">
            <w:pPr>
              <w:spacing w:after="40"/>
            </w:pPr>
            <w:r>
              <w:rPr>
                <w:rFonts w:ascii="Calibri" w:hAnsi="Calibri" w:eastAsia="宋体"/>
                <w:color w:val="1F3142"/>
                <w:sz w:val="19"/>
              </w:rPr>
              <w:t>线性强度 0–1</w:t>
            </w:r>
          </w:p>
        </w:tc>
        <w:tc>
          <w:tcPr>
            <w:tcW w:w="3290" w:type="dxa"/>
            <w:tcMar>
              <w:top w:w="80" w:type="dxa"/>
              <w:left w:w="120" w:type="dxa"/>
              <w:bottom w:w="80" w:type="dxa"/>
              <w:right w:w="120" w:type="dxa"/>
            </w:tcMar>
            <w:vAlign w:val="center"/>
          </w:tcPr>
          <w:p w14:paraId="77F35629">
            <w:pPr>
              <w:spacing w:after="40"/>
            </w:pPr>
            <w:r>
              <w:rPr>
                <w:rFonts w:ascii="Calibri" w:hAnsi="Calibri" w:eastAsia="宋体"/>
                <w:color w:val="1F3142"/>
                <w:sz w:val="19"/>
              </w:rPr>
              <w:t>远距离水体区域或参数拟合</w:t>
            </w:r>
          </w:p>
        </w:tc>
      </w:tr>
      <w:tr w14:paraId="7184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Mar>
              <w:top w:w="80" w:type="dxa"/>
              <w:left w:w="120" w:type="dxa"/>
              <w:bottom w:w="80" w:type="dxa"/>
              <w:right w:w="120" w:type="dxa"/>
            </w:tcMar>
            <w:vAlign w:val="center"/>
          </w:tcPr>
          <w:p w14:paraId="52FB50D5">
            <w:pPr>
              <w:spacing w:after="40"/>
            </w:pPr>
            <w:r>
              <w:rPr>
                <w:rFonts w:ascii="Calibri" w:hAnsi="Calibri" w:eastAsia="宋体"/>
                <w:color w:val="1F3142"/>
                <w:sz w:val="19"/>
              </w:rPr>
              <w:t>h/σ</w:t>
            </w:r>
          </w:p>
        </w:tc>
        <w:tc>
          <w:tcPr>
            <w:tcW w:w="3070" w:type="dxa"/>
            <w:tcMar>
              <w:top w:w="80" w:type="dxa"/>
              <w:left w:w="120" w:type="dxa"/>
              <w:bottom w:w="80" w:type="dxa"/>
              <w:right w:w="120" w:type="dxa"/>
            </w:tcMar>
            <w:vAlign w:val="center"/>
          </w:tcPr>
          <w:p w14:paraId="1BB7C383">
            <w:pPr>
              <w:spacing w:after="40"/>
            </w:pPr>
            <w:r>
              <w:rPr>
                <w:rFonts w:ascii="Calibri" w:hAnsi="Calibri" w:eastAsia="宋体"/>
                <w:color w:val="1F3142"/>
                <w:sz w:val="19"/>
              </w:rPr>
              <w:t>前向散射 PSF/尺度</w:t>
            </w:r>
          </w:p>
        </w:tc>
        <w:tc>
          <w:tcPr>
            <w:tcW w:w="1740" w:type="dxa"/>
            <w:tcMar>
              <w:top w:w="80" w:type="dxa"/>
              <w:left w:w="120" w:type="dxa"/>
              <w:bottom w:w="80" w:type="dxa"/>
              <w:right w:w="120" w:type="dxa"/>
            </w:tcMar>
            <w:vAlign w:val="center"/>
          </w:tcPr>
          <w:p w14:paraId="51835FEE">
            <w:pPr>
              <w:spacing w:after="40"/>
            </w:pPr>
            <w:r>
              <w:rPr>
                <w:rFonts w:ascii="Calibri" w:hAnsi="Calibri" w:eastAsia="宋体"/>
                <w:color w:val="1F3142"/>
                <w:sz w:val="19"/>
              </w:rPr>
              <w:t>归一化核/像素</w:t>
            </w:r>
          </w:p>
        </w:tc>
        <w:tc>
          <w:tcPr>
            <w:tcW w:w="3290" w:type="dxa"/>
            <w:tcMar>
              <w:top w:w="80" w:type="dxa"/>
              <w:left w:w="120" w:type="dxa"/>
              <w:bottom w:w="80" w:type="dxa"/>
              <w:right w:w="120" w:type="dxa"/>
            </w:tcMar>
            <w:vAlign w:val="center"/>
          </w:tcPr>
          <w:p w14:paraId="6B498E7C">
            <w:pPr>
              <w:spacing w:after="40"/>
            </w:pPr>
            <w:r>
              <w:rPr>
                <w:rFonts w:ascii="Calibri" w:hAnsi="Calibri" w:eastAsia="宋体"/>
                <w:color w:val="1F3142"/>
                <w:sz w:val="19"/>
              </w:rPr>
              <w:t>水槽标定、点目标或经验模型</w:t>
            </w:r>
          </w:p>
        </w:tc>
      </w:tr>
      <w:tr w14:paraId="25749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Mar>
              <w:top w:w="80" w:type="dxa"/>
              <w:left w:w="120" w:type="dxa"/>
              <w:bottom w:w="80" w:type="dxa"/>
              <w:right w:w="120" w:type="dxa"/>
            </w:tcMar>
            <w:vAlign w:val="center"/>
          </w:tcPr>
          <w:p w14:paraId="393D7ADD">
            <w:pPr>
              <w:spacing w:after="40"/>
            </w:pPr>
            <w:r>
              <w:rPr>
                <w:rFonts w:ascii="Calibri" w:hAnsi="Calibri" w:eastAsia="宋体"/>
                <w:color w:val="1F3142"/>
                <w:sz w:val="19"/>
              </w:rPr>
              <w:t>S_c(λ)</w:t>
            </w:r>
          </w:p>
        </w:tc>
        <w:tc>
          <w:tcPr>
            <w:tcW w:w="3070" w:type="dxa"/>
            <w:tcMar>
              <w:top w:w="80" w:type="dxa"/>
              <w:left w:w="120" w:type="dxa"/>
              <w:bottom w:w="80" w:type="dxa"/>
              <w:right w:w="120" w:type="dxa"/>
            </w:tcMar>
            <w:vAlign w:val="center"/>
          </w:tcPr>
          <w:p w14:paraId="432F06B9">
            <w:pPr>
              <w:spacing w:after="40"/>
            </w:pPr>
            <w:r>
              <w:rPr>
                <w:rFonts w:ascii="Calibri" w:hAnsi="Calibri" w:eastAsia="宋体"/>
                <w:color w:val="1F3142"/>
                <w:sz w:val="19"/>
              </w:rPr>
              <w:t>传感器通道光谱响应</w:t>
            </w:r>
          </w:p>
        </w:tc>
        <w:tc>
          <w:tcPr>
            <w:tcW w:w="1740" w:type="dxa"/>
            <w:tcMar>
              <w:top w:w="80" w:type="dxa"/>
              <w:left w:w="120" w:type="dxa"/>
              <w:bottom w:w="80" w:type="dxa"/>
              <w:right w:w="120" w:type="dxa"/>
            </w:tcMar>
            <w:vAlign w:val="center"/>
          </w:tcPr>
          <w:p w14:paraId="29142976">
            <w:pPr>
              <w:spacing w:after="40"/>
            </w:pPr>
            <w:r>
              <w:rPr>
                <w:rFonts w:ascii="Calibri" w:hAnsi="Calibri" w:eastAsia="宋体"/>
                <w:color w:val="1F3142"/>
                <w:sz w:val="19"/>
              </w:rPr>
              <w:t>相对响应</w:t>
            </w:r>
          </w:p>
        </w:tc>
        <w:tc>
          <w:tcPr>
            <w:tcW w:w="3290" w:type="dxa"/>
            <w:tcMar>
              <w:top w:w="80" w:type="dxa"/>
              <w:left w:w="120" w:type="dxa"/>
              <w:bottom w:w="80" w:type="dxa"/>
              <w:right w:w="120" w:type="dxa"/>
            </w:tcMar>
            <w:vAlign w:val="center"/>
          </w:tcPr>
          <w:p w14:paraId="333F486C">
            <w:pPr>
              <w:spacing w:after="40"/>
            </w:pPr>
            <w:r>
              <w:rPr>
                <w:rFonts w:ascii="Calibri" w:hAnsi="Calibri" w:eastAsia="宋体"/>
                <w:color w:val="1F3142"/>
                <w:sz w:val="19"/>
              </w:rPr>
              <w:t>厂商数据或单色仪测量</w:t>
            </w:r>
          </w:p>
        </w:tc>
      </w:tr>
    </w:tbl>
    <w:p w14:paraId="39C16A80">
      <w:pPr>
        <w:spacing w:after="0"/>
      </w:pPr>
    </w:p>
    <w:p w14:paraId="32E8F2C3">
      <w:pPr>
        <w:keepLines w:val="0"/>
      </w:pPr>
      <w:r>
        <w:rPr>
          <w:rFonts w:ascii="Calibri" w:hAnsi="Calibri" w:eastAsia="宋体"/>
          <w:color w:val="1F3142"/>
          <w:sz w:val="22"/>
        </w:rPr>
        <w:t>该简化模型成立需要下列假设：</w:t>
      </w:r>
    </w:p>
    <w:p w14:paraId="7A9B6B36">
      <w:pPr>
        <w:pStyle w:val="16"/>
      </w:pPr>
      <w:r>
        <w:rPr>
          <w:rFonts w:ascii="Calibri" w:hAnsi="Calibri" w:eastAsia="宋体"/>
          <w:color w:val="1F3142"/>
          <w:sz w:val="22"/>
        </w:rPr>
        <w:t>水体在局部空间内近似均匀，系数在单帧曝光期间不变。</w:t>
      </w:r>
    </w:p>
    <w:p w14:paraId="3808D079">
      <w:pPr>
        <w:pStyle w:val="16"/>
      </w:pPr>
      <w:r>
        <w:rPr>
          <w:rFonts w:ascii="Calibri" w:hAnsi="Calibri" w:eastAsia="宋体"/>
          <w:color w:val="1F3142"/>
          <w:sz w:val="22"/>
        </w:rPr>
        <w:t>以单次散射或弱多次散射近似为主，极浑浊水体的强多次散射不适用。</w:t>
      </w:r>
    </w:p>
    <w:p w14:paraId="46B71BD4">
      <w:pPr>
        <w:pStyle w:val="16"/>
      </w:pPr>
      <w:r>
        <w:rPr>
          <w:rFonts w:ascii="Calibri" w:hAnsi="Calibri" w:eastAsia="宋体"/>
          <w:color w:val="1F3142"/>
          <w:sz w:val="22"/>
        </w:rPr>
        <w:t>深度图与 RGB 图像已对齐，且相机图像已暗电流校正并线性化。</w:t>
      </w:r>
    </w:p>
    <w:p w14:paraId="5FB3715A">
      <w:pPr>
        <w:pStyle w:val="16"/>
      </w:pPr>
      <w:r>
        <w:rPr>
          <w:rFonts w:ascii="Calibri" w:hAnsi="Calibri" w:eastAsia="宋体"/>
          <w:color w:val="1F3142"/>
          <w:sz w:val="22"/>
        </w:rPr>
        <w:t>主动照明时光源位置、光束角和入射水程已知或被有效近似。</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1A283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360" w:type="dxa"/>
            <w:shd w:val="clear" w:color="auto" w:fill="F4F6F9"/>
            <w:tcMar>
              <w:top w:w="80" w:type="dxa"/>
              <w:left w:w="120" w:type="dxa"/>
              <w:bottom w:w="80" w:type="dxa"/>
              <w:right w:w="120" w:type="dxa"/>
            </w:tcMar>
            <w:vAlign w:val="center"/>
          </w:tcPr>
          <w:p w14:paraId="15FECBF3">
            <w:pPr>
              <w:spacing w:before="80" w:after="80"/>
            </w:pPr>
            <w:r>
              <w:rPr>
                <w:rFonts w:ascii="Calibri" w:hAnsi="Calibri" w:eastAsia="微软雅黑"/>
                <w:b/>
                <w:color w:val="1F4D78"/>
                <w:sz w:val="22"/>
              </w:rPr>
              <w:t xml:space="preserve">可辨识性提醒  </w:t>
            </w:r>
            <w:r>
              <w:rPr>
                <w:rFonts w:ascii="Calibri" w:hAnsi="Calibri" w:eastAsia="宋体"/>
                <w:color w:val="1F3142"/>
                <w:sz w:val="22"/>
              </w:rPr>
              <w:t>单张未知深度的 RGB 图像通常不能唯一分离目标反射率、照明颜色、直接衰减与后向散射。需要深度、标定目标、多视角、偏振或可靠先验中的至少一种额外信息。</w:t>
            </w:r>
          </w:p>
        </w:tc>
      </w:tr>
    </w:tbl>
    <w:p w14:paraId="38506147">
      <w:pPr>
        <w:spacing w:after="0"/>
      </w:pPr>
    </w:p>
    <w:p w14:paraId="11F36A48">
      <w:pPr>
        <w:pStyle w:val="3"/>
      </w:pPr>
      <w:r>
        <w:t>5. MATLAB 原理演示</w:t>
      </w:r>
    </w:p>
    <w:p w14:paraId="3E60BD8E">
      <w:pPr>
        <w:keepLines w:val="0"/>
      </w:pPr>
      <w:r>
        <w:rPr>
          <w:rFonts w:ascii="Calibri" w:hAnsi="Calibri" w:eastAsia="宋体"/>
          <w:color w:val="1F3142"/>
          <w:sz w:val="22"/>
        </w:rPr>
        <w:t>示例以合成清晰场景 J、连续深度图 d 和每通道参数为输入，使用下式生成观测图像：</w:t>
      </w:r>
    </w:p>
    <w:p w14:paraId="1F47977B">
      <w:pPr>
        <w:spacing w:before="60" w:after="20"/>
        <w:jc w:val="center"/>
      </w:pPr>
      <w:r>
        <w:drawing>
          <wp:inline distT="0" distB="0" distL="114300" distR="114300">
            <wp:extent cx="5669280" cy="523240"/>
            <wp:effectExtent l="0" t="0" r="7620" b="10160"/>
            <wp:docPr id="12" name="Picture 12" descr="公式（12）：I_c=J_ct_c+\alpha_c(J_ct_c)*g_{\sigma(d)}+B_{\infty,c}(1-e^{-\beta_c^B d})+n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公式（12）：I_c=J_ct_c+\alpha_c(J_ct_c)*g_{\sigma(d)}+B_{\infty,c}(1-e^{-\beta_c^B d})+n_c"/>
                    <pic:cNvPicPr>
                      <a:picLocks noChangeAspect="1"/>
                    </pic:cNvPicPr>
                  </pic:nvPicPr>
                  <pic:blipFill>
                    <a:blip r:embed="rId19"/>
                    <a:stretch>
                      <a:fillRect/>
                    </a:stretch>
                  </pic:blipFill>
                  <pic:spPr>
                    <a:xfrm>
                      <a:off x="0" y="0"/>
                      <a:ext cx="5669280" cy="523462"/>
                    </a:xfrm>
                    <a:prstGeom prst="rect">
                      <a:avLst/>
                    </a:prstGeom>
                  </pic:spPr>
                </pic:pic>
              </a:graphicData>
            </a:graphic>
          </wp:inline>
        </w:drawing>
      </w:r>
    </w:p>
    <w:p w14:paraId="302430B5">
      <w:pPr>
        <w:spacing w:after="100"/>
        <w:jc w:val="right"/>
      </w:pPr>
      <w:r>
        <w:rPr>
          <w:rFonts w:ascii="Calibri" w:hAnsi="Calibri" w:eastAsia="宋体"/>
          <w:color w:val="66707B"/>
          <w:sz w:val="19"/>
        </w:rPr>
        <w:t>（12）</w:t>
      </w:r>
    </w:p>
    <w:p w14:paraId="46D84F9E">
      <w:pPr>
        <w:keepLines w:val="0"/>
      </w:pPr>
      <w:r>
        <w:rPr>
          <w:rFonts w:ascii="Calibri" w:hAnsi="Calibri" w:eastAsia="宋体"/>
          <w:color w:val="1F3142"/>
          <w:sz w:val="22"/>
        </w:rPr>
        <w:t>其中 t_c=exp(-βᴰ_c d)，α_c 控制前向散射比例，gσ(d) 为随距离增宽的高斯核。该式便于直观展示三种分量，并不声称精确守恒每个光子的能量。</w:t>
      </w:r>
    </w:p>
    <w:p w14:paraId="67BA2C8E">
      <w:pPr>
        <w:pStyle w:val="4"/>
      </w:pPr>
      <w:r>
        <w:t>5.1 计算流程</w:t>
      </w:r>
    </w:p>
    <w:p w14:paraId="16FC6DE7">
      <w:pPr>
        <w:pStyle w:val="14"/>
      </w:pPr>
      <w:r>
        <w:rPr>
          <w:rFonts w:ascii="Calibri" w:hAnsi="Calibri" w:eastAsia="宋体"/>
          <w:color w:val="1F3142"/>
          <w:sz w:val="22"/>
        </w:rPr>
        <w:t>构造包含色块、条纹和分辨率目标的清晰线性 RGB 场景，同时生成 2.4–9.8 m 的逐像素深度图。</w:t>
      </w:r>
    </w:p>
    <w:p w14:paraId="55182373">
      <w:pPr>
        <w:pStyle w:val="14"/>
      </w:pPr>
      <w:r>
        <w:rPr>
          <w:rFonts w:ascii="Calibri" w:hAnsi="Calibri" w:eastAsia="宋体"/>
          <w:color w:val="1F3142"/>
          <w:sz w:val="22"/>
        </w:rPr>
        <w:t>按 R/G/B 三通道计算指数透射率和直接分量，红通道使用更大的衰减系数。</w:t>
      </w:r>
    </w:p>
    <w:p w14:paraId="750F33B3">
      <w:pPr>
        <w:pStyle w:val="14"/>
      </w:pPr>
      <w:r>
        <w:rPr>
          <w:rFonts w:ascii="Calibri" w:hAnsi="Calibri" w:eastAsia="宋体"/>
          <w:color w:val="1F3142"/>
          <w:sz w:val="22"/>
        </w:rPr>
        <w:t>按深度层对直接分量进行高斯卷积，合成距离相关的前向散射模糊。</w:t>
      </w:r>
    </w:p>
    <w:p w14:paraId="24FA0AA3">
      <w:pPr>
        <w:pStyle w:val="14"/>
      </w:pPr>
      <w:r>
        <w:rPr>
          <w:rFonts w:ascii="Calibri" w:hAnsi="Calibri" w:eastAsia="宋体"/>
          <w:color w:val="1F3142"/>
          <w:sz w:val="22"/>
        </w:rPr>
        <w:t>使用渐近水体颜色和独立 βᴮ 生成后向散射，再叠加小幅高斯噪声。</w:t>
      </w:r>
    </w:p>
    <w:p w14:paraId="0DE093E8">
      <w:pPr>
        <w:pStyle w:val="14"/>
      </w:pPr>
      <w:r>
        <w:rPr>
          <w:rFonts w:ascii="Calibri" w:hAnsi="Calibri" w:eastAsia="宋体"/>
          <w:color w:val="1F3142"/>
          <w:sz w:val="22"/>
        </w:rPr>
        <w:t>分别执行忽略前向散射的两分量恢复与使用已知前向分量的三分量恢复，计算 MAE、MSE 和 PSNR。</w:t>
      </w:r>
    </w:p>
    <w:p w14:paraId="30BADA45">
      <w:pPr>
        <w:keepNext/>
        <w:jc w:val="center"/>
      </w:pPr>
      <w:r>
        <w:drawing>
          <wp:inline distT="0" distB="0" distL="114300" distR="114300">
            <wp:extent cx="5715000" cy="3429000"/>
            <wp:effectExtent l="0" t="0" r="0" b="0"/>
            <wp:docPr id="13" name="Picture 13" descr="图 1  MATLAB 实际运行的三分量成像与恢复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 1  MATLAB 实际运行的三分量成像与恢复总览"/>
                    <pic:cNvPicPr>
                      <a:picLocks noChangeAspect="1"/>
                    </pic:cNvPicPr>
                  </pic:nvPicPr>
                  <pic:blipFill>
                    <a:blip r:embed="rId20"/>
                    <a:stretch>
                      <a:fillRect/>
                    </a:stretch>
                  </pic:blipFill>
                  <pic:spPr>
                    <a:xfrm>
                      <a:off x="0" y="0"/>
                      <a:ext cx="5715000" cy="3429000"/>
                    </a:xfrm>
                    <a:prstGeom prst="rect">
                      <a:avLst/>
                    </a:prstGeom>
                  </pic:spPr>
                </pic:pic>
              </a:graphicData>
            </a:graphic>
          </wp:inline>
        </w:drawing>
      </w:r>
    </w:p>
    <w:p w14:paraId="2651A70E">
      <w:pPr>
        <w:spacing w:before="40" w:after="160"/>
        <w:jc w:val="center"/>
      </w:pPr>
      <w:r>
        <w:rPr>
          <w:rFonts w:ascii="Calibri" w:hAnsi="Calibri" w:eastAsia="宋体"/>
          <w:i/>
          <w:color w:val="66707B"/>
          <w:sz w:val="19"/>
        </w:rPr>
        <w:t>图 1  MATLAB 实际运行的三分量成像与恢复总览</w:t>
      </w:r>
    </w:p>
    <w:p w14:paraId="79170B8B">
      <w:pPr>
        <w:keepNext/>
        <w:jc w:val="center"/>
      </w:pPr>
      <w:r>
        <w:drawing>
          <wp:inline distT="0" distB="0" distL="114300" distR="114300">
            <wp:extent cx="5715000" cy="3341370"/>
            <wp:effectExtent l="0" t="0" r="0" b="11430"/>
            <wp:docPr id="14" name="Picture 14" descr="图 2  RGB 透射率、后向散射和各分量随距离变化的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 2  RGB 透射率、后向散射和各分量随距离变化的曲线"/>
                    <pic:cNvPicPr>
                      <a:picLocks noChangeAspect="1"/>
                    </pic:cNvPicPr>
                  </pic:nvPicPr>
                  <pic:blipFill>
                    <a:blip r:embed="rId21"/>
                    <a:stretch>
                      <a:fillRect/>
                    </a:stretch>
                  </pic:blipFill>
                  <pic:spPr>
                    <a:xfrm>
                      <a:off x="0" y="0"/>
                      <a:ext cx="5715000" cy="3341442"/>
                    </a:xfrm>
                    <a:prstGeom prst="rect">
                      <a:avLst/>
                    </a:prstGeom>
                  </pic:spPr>
                </pic:pic>
              </a:graphicData>
            </a:graphic>
          </wp:inline>
        </w:drawing>
      </w:r>
    </w:p>
    <w:p w14:paraId="4D01BFC5">
      <w:pPr>
        <w:spacing w:before="40" w:after="160"/>
        <w:jc w:val="center"/>
      </w:pPr>
      <w:r>
        <w:rPr>
          <w:rFonts w:ascii="Calibri" w:hAnsi="Calibri" w:eastAsia="宋体"/>
          <w:i/>
          <w:color w:val="66707B"/>
          <w:sz w:val="19"/>
        </w:rPr>
        <w:t>图 2  RGB 透射率、后向散射和各分量随距离变化的曲线</w:t>
      </w:r>
    </w:p>
    <w:p w14:paraId="33A07E36">
      <w:pPr>
        <w:pStyle w:val="4"/>
      </w:pPr>
      <w:r>
        <w:t>5.2 结果解释</w:t>
      </w:r>
    </w:p>
    <w:p w14:paraId="68DCFFF9">
      <w:pPr>
        <w:keepLines w:val="0"/>
      </w:pPr>
      <w:r>
        <w:rPr>
          <w:rFonts w:ascii="Calibri" w:hAnsi="Calibri" w:eastAsia="宋体"/>
          <w:color w:val="1F3142"/>
          <w:sz w:val="22"/>
        </w:rPr>
        <w:t>本次固定随机种子运行结果：两分量恢复 PSNR 为 32.70 dB、MAE 为 0.0195；三分量恢复 PSNR 为 39.42 dB、MAE 为 0.0058。</w:t>
      </w:r>
    </w:p>
    <w:p w14:paraId="372D5944">
      <w:pPr>
        <w:spacing w:before="60" w:after="20"/>
        <w:jc w:val="center"/>
      </w:pPr>
      <w:r>
        <w:drawing>
          <wp:inline distT="0" distB="0" distL="114300" distR="114300">
            <wp:extent cx="3474720" cy="643890"/>
            <wp:effectExtent l="0" t="0" r="11430" b="3810"/>
            <wp:docPr id="15" name="Picture 15" descr="公式（13）：\mathrm{PSNR}=10\log_{10}\!\left(\frac{1}{\mathrm{MSE}}\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公式（13）：\mathrm{PSNR}=10\log_{10}\!\left(\frac{1}{\mathrm{MSE}}\right)"/>
                    <pic:cNvPicPr>
                      <a:picLocks noChangeAspect="1"/>
                    </pic:cNvPicPr>
                  </pic:nvPicPr>
                  <pic:blipFill>
                    <a:blip r:embed="rId22"/>
                    <a:stretch>
                      <a:fillRect/>
                    </a:stretch>
                  </pic:blipFill>
                  <pic:spPr>
                    <a:xfrm>
                      <a:off x="0" y="0"/>
                      <a:ext cx="3474720" cy="644359"/>
                    </a:xfrm>
                    <a:prstGeom prst="rect">
                      <a:avLst/>
                    </a:prstGeom>
                  </pic:spPr>
                </pic:pic>
              </a:graphicData>
            </a:graphic>
          </wp:inline>
        </w:drawing>
      </w:r>
    </w:p>
    <w:p w14:paraId="1EDC22C0">
      <w:pPr>
        <w:spacing w:after="100"/>
        <w:jc w:val="right"/>
      </w:pPr>
      <w:r>
        <w:rPr>
          <w:rFonts w:ascii="Calibri" w:hAnsi="Calibri" w:eastAsia="宋体"/>
          <w:color w:val="66707B"/>
          <w:sz w:val="19"/>
        </w:rPr>
        <w:t>（13）</w:t>
      </w:r>
    </w:p>
    <w:p w14:paraId="3F1E524D">
      <w:pPr>
        <w:pStyle w:val="16"/>
      </w:pPr>
      <w:r>
        <w:rPr>
          <w:rFonts w:ascii="Calibri" w:hAnsi="Calibri" w:eastAsia="宋体"/>
          <w:color w:val="1F3142"/>
          <w:sz w:val="22"/>
        </w:rPr>
        <w:t>深度增大时红通道透射率最先下降，重现了典型的水下偏蓝绿色现象。</w:t>
      </w:r>
    </w:p>
    <w:p w14:paraId="2A59A3A2">
      <w:pPr>
        <w:pStyle w:val="16"/>
      </w:pPr>
      <w:r>
        <w:rPr>
          <w:rFonts w:ascii="Calibri" w:hAnsi="Calibri" w:eastAsia="宋体"/>
          <w:color w:val="1F3142"/>
          <w:sz w:val="22"/>
        </w:rPr>
        <w:t>前向散射破坏高频细节；若反演中把它遗漏，恢复图仍有条纹模糊和局部光晕。</w:t>
      </w:r>
    </w:p>
    <w:p w14:paraId="06C0C9D9">
      <w:pPr>
        <w:pStyle w:val="16"/>
      </w:pPr>
      <w:r>
        <w:rPr>
          <w:rFonts w:ascii="Calibri" w:hAnsi="Calibri" w:eastAsia="宋体"/>
          <w:color w:val="1F3142"/>
          <w:sz w:val="22"/>
        </w:rPr>
        <w:t>后向散射随距离增加并趋于 B∞，使远处区域对比度被水体颜色淹没。</w:t>
      </w:r>
    </w:p>
    <w:p w14:paraId="403AAEF5">
      <w:pPr>
        <w:pStyle w:val="16"/>
      </w:pPr>
      <w:r>
        <w:rPr>
          <w:rFonts w:ascii="Calibri" w:hAnsi="Calibri" w:eastAsia="宋体"/>
          <w:color w:val="1F3142"/>
          <w:sz w:val="22"/>
        </w:rPr>
        <w:t>三分量恢复采用了仿真中已知的 F、B 和 t，因此是“oracle 上界”，不代表真实单帧算法可以无误获得这些量。</w:t>
      </w:r>
    </w:p>
    <w:p w14:paraId="6BA3010F">
      <w:pPr>
        <w:pStyle w:val="4"/>
      </w:pPr>
      <w:r>
        <w:t>5.3 运行方法与输出</w:t>
      </w:r>
    </w:p>
    <w:p w14:paraId="20525373">
      <w:pPr>
        <w:keepLines w:val="0"/>
      </w:pPr>
      <w:r>
        <w:rPr>
          <w:rFonts w:ascii="Calibri" w:hAnsi="Calibri" w:eastAsia="宋体"/>
          <w:color w:val="1F3142"/>
          <w:sz w:val="22"/>
        </w:rPr>
        <w:t>在 MATLAB 命令窗口执行：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0E1B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360" w:type="dxa"/>
            <w:shd w:val="clear" w:color="auto" w:fill="F2F4F7"/>
            <w:tcMar>
              <w:top w:w="80" w:type="dxa"/>
              <w:left w:w="120" w:type="dxa"/>
              <w:bottom w:w="80" w:type="dxa"/>
              <w:right w:w="120" w:type="dxa"/>
            </w:tcMar>
            <w:vAlign w:val="center"/>
          </w:tcPr>
          <w:p w14:paraId="789A2CA8">
            <w:pPr>
              <w:spacing w:before="80" w:after="80"/>
            </w:pPr>
            <w:r>
              <w:rPr>
                <w:rFonts w:ascii="Consolas" w:hAnsi="Consolas" w:eastAsia="等线"/>
                <w:color w:val="1F3142"/>
                <w:sz w:val="19"/>
              </w:rPr>
              <w:t>cd('C:\Users\Administrator\Desktop\seamine\matlab_underwater_demo');</w:t>
            </w:r>
            <w:r>
              <w:br w:type="textWrapping"/>
            </w:r>
            <w:r>
              <w:rPr>
                <w:rFonts w:ascii="Consolas" w:hAnsi="Consolas" w:eastAsia="等线"/>
                <w:color w:val="1F3142"/>
                <w:sz w:val="19"/>
              </w:rPr>
              <w:t>run_demo;</w:t>
            </w:r>
          </w:p>
        </w:tc>
      </w:tr>
    </w:tbl>
    <w:p w14:paraId="2CF4C0C0">
      <w:pPr>
        <w:spacing w:after="0"/>
      </w:pPr>
    </w:p>
    <w:p w14:paraId="688E31FC">
      <w:pPr>
        <w:keepLines w:val="0"/>
      </w:pPr>
      <w:r>
        <w:rPr>
          <w:rFonts w:ascii="Calibri" w:hAnsi="Calibri" w:eastAsia="宋体"/>
          <w:color w:val="1F3142"/>
          <w:sz w:val="22"/>
        </w:rPr>
        <w:t>主程序不依赖 Image Processing Toolbox，已在 MATLAB R2021b 运行验证。输出目录包含清晰场景、深度图、水下观测图、两种恢复图、总览图、曲线图和 MAT 数据文件。</w:t>
      </w:r>
    </w:p>
    <w:p w14:paraId="31ADFE00">
      <w:pPr>
        <w:keepLines w:val="0"/>
      </w:pPr>
      <w:r>
        <w:rPr>
          <w:rFonts w:ascii="Calibri" w:hAnsi="Calibri" w:eastAsia="宋体"/>
          <w:color w:val="1F3142"/>
          <w:sz w:val="22"/>
        </w:rPr>
        <w:t>主要文件：underwater_optical_model_demo.m（模型与绘图）、run_demo.m（一键运行）、README.md（参数与输出说明）。</w:t>
      </w:r>
    </w:p>
    <w:p w14:paraId="3D0C9909">
      <w:pPr>
        <w:pStyle w:val="3"/>
      </w:pPr>
      <w:r>
        <w:t>6. 从演示模型走向真实系统</w:t>
      </w:r>
    </w:p>
    <w:p w14:paraId="2D2C4B07">
      <w:pPr>
        <w:keepLines w:val="0"/>
      </w:pPr>
      <w:r>
        <w:rPr>
          <w:rFonts w:ascii="Calibri" w:hAnsi="Calibri" w:eastAsia="宋体"/>
          <w:color w:val="1F3142"/>
          <w:sz w:val="22"/>
        </w:rPr>
        <w:t>若将模型用于真实相机或算法论文，建议按以下顺序扩展：</w:t>
      </w:r>
    </w:p>
    <w:p w14:paraId="2625D143">
      <w:pPr>
        <w:pStyle w:val="14"/>
      </w:pPr>
      <w:r>
        <w:rPr>
          <w:rFonts w:ascii="Calibri" w:hAnsi="Calibri" w:eastAsia="宋体"/>
          <w:color w:val="1F3142"/>
          <w:sz w:val="22"/>
        </w:rPr>
        <w:t>相机标定：完成内参、畸变、平面舷窗折射和 RAW 线性化标定。</w:t>
      </w:r>
    </w:p>
    <w:p w14:paraId="532EC904">
      <w:pPr>
        <w:pStyle w:val="14"/>
      </w:pPr>
      <w:r>
        <w:rPr>
          <w:rFonts w:ascii="Calibri" w:hAnsi="Calibri" w:eastAsia="宋体"/>
          <w:color w:val="1F3142"/>
          <w:sz w:val="22"/>
        </w:rPr>
        <w:t>几何输入：获取与 RGB 对齐的距离图，并建模光源到目标的入射路径。</w:t>
      </w:r>
    </w:p>
    <w:p w14:paraId="5978B77A">
      <w:pPr>
        <w:pStyle w:val="14"/>
      </w:pPr>
      <w:r>
        <w:rPr>
          <w:rFonts w:ascii="Calibri" w:hAnsi="Calibri" w:eastAsia="宋体"/>
          <w:color w:val="1F3142"/>
          <w:sz w:val="22"/>
        </w:rPr>
        <w:t>光学参数：用多距离中性色卡或已知反射率目标分别拟合 βᴰ、βᴮ 和 B∞。</w:t>
      </w:r>
    </w:p>
    <w:p w14:paraId="1D34B216">
      <w:pPr>
        <w:pStyle w:val="14"/>
      </w:pPr>
      <w:r>
        <w:rPr>
          <w:rFonts w:ascii="Calibri" w:hAnsi="Calibri" w:eastAsia="宋体"/>
          <w:color w:val="1F3142"/>
          <w:sz w:val="22"/>
        </w:rPr>
        <w:t>散射核：用点目标/细线目标在不同距离处标定空间变化 PSF，而不是固定高斯核。</w:t>
      </w:r>
    </w:p>
    <w:p w14:paraId="4B2E19FA">
      <w:pPr>
        <w:pStyle w:val="14"/>
      </w:pPr>
      <w:r>
        <w:rPr>
          <w:rFonts w:ascii="Calibri" w:hAnsi="Calibri" w:eastAsia="宋体"/>
          <w:color w:val="1F3142"/>
          <w:sz w:val="22"/>
        </w:rPr>
        <w:t>不确定性：评估深度误差、参数耦合、噪声放大和透射率下限对恢复结果的影响。</w:t>
      </w:r>
    </w:p>
    <w:p w14:paraId="191F0E98">
      <w:pPr>
        <w:pStyle w:val="14"/>
      </w:pPr>
      <w:r>
        <w:rPr>
          <w:rFonts w:ascii="Calibri" w:hAnsi="Calibri" w:eastAsia="宋体"/>
          <w:color w:val="1F3142"/>
          <w:sz w:val="22"/>
        </w:rPr>
        <w:t>验证：除 PSNR/SSIM 外，使用色差 ΔE、调制度传递函数、目标检测性能和真实水槽/海试数据。</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26B4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360" w:type="dxa"/>
            <w:shd w:val="clear" w:color="auto" w:fill="F4F6F9"/>
            <w:tcMar>
              <w:top w:w="80" w:type="dxa"/>
              <w:left w:w="120" w:type="dxa"/>
              <w:bottom w:w="80" w:type="dxa"/>
              <w:right w:w="120" w:type="dxa"/>
            </w:tcMar>
            <w:vAlign w:val="center"/>
          </w:tcPr>
          <w:p w14:paraId="11E3BD84">
            <w:pPr>
              <w:spacing w:before="80" w:after="80"/>
            </w:pPr>
            <w:r>
              <w:rPr>
                <w:rFonts w:ascii="Calibri" w:hAnsi="Calibri" w:eastAsia="微软雅黑"/>
                <w:b/>
                <w:color w:val="1F4D78"/>
                <w:sz w:val="22"/>
              </w:rPr>
              <w:t xml:space="preserve">模型选择  </w:t>
            </w:r>
            <w:r>
              <w:rPr>
                <w:rFonts w:ascii="Calibri" w:hAnsi="Calibri" w:eastAsia="宋体"/>
                <w:color w:val="1F3142"/>
                <w:sz w:val="22"/>
              </w:rPr>
              <w:t>只做视觉增强时，可采用经验或学习方法；需要颜色定量、测量或跨水体泛化时，应优先采用光谱化、距离相关且区分 βᴰ 与 βᴮ 的物理模型。</w:t>
            </w:r>
          </w:p>
        </w:tc>
      </w:tr>
    </w:tbl>
    <w:p w14:paraId="42E8BE49">
      <w:pPr>
        <w:spacing w:after="0"/>
      </w:pPr>
    </w:p>
    <w:p w14:paraId="028FBBA0">
      <w:pPr>
        <w:pStyle w:val="3"/>
      </w:pPr>
      <w:r>
        <w:t>附录 A：公式的 LaTeX 源码</w:t>
      </w:r>
    </w:p>
    <w:p w14:paraId="2EC5E00B">
      <w:pPr>
        <w:keepLines w:val="0"/>
      </w:pPr>
      <w:r>
        <w:rPr>
          <w:rFonts w:ascii="Calibri" w:hAnsi="Calibri" w:eastAsia="宋体"/>
          <w:color w:val="1F3142"/>
          <w:sz w:val="22"/>
        </w:rPr>
        <w:t>正文全部公式均由下列 LaTeX 源码生成；复制到支持 LaTeX 的公式编辑器即可复用。</w:t>
      </w:r>
    </w:p>
    <w:p w14:paraId="7E882314">
      <w:pPr>
        <w:spacing w:after="80"/>
      </w:pPr>
      <w:r>
        <w:rPr>
          <w:rFonts w:ascii="Calibri" w:hAnsi="Calibri" w:eastAsia="微软雅黑"/>
          <w:b/>
          <w:color w:val="2E74B5"/>
          <w:sz w:val="17"/>
        </w:rPr>
        <w:t xml:space="preserve">式源 01  </w:t>
      </w:r>
      <w:r>
        <w:rPr>
          <w:rFonts w:ascii="Consolas" w:hAnsi="Consolas" w:eastAsia="等线"/>
          <w:color w:val="1F3142"/>
          <w:sz w:val="16"/>
        </w:rPr>
        <w:t>s\tilde{\mathbf p}=\mathbf K[\,\mathbf R\mid\mathbf t\,]\tilde{\mathbf P}</w:t>
      </w:r>
    </w:p>
    <w:p w14:paraId="7520B4B8">
      <w:pPr>
        <w:spacing w:after="80"/>
      </w:pPr>
      <w:r>
        <w:rPr>
          <w:rFonts w:ascii="Calibri" w:hAnsi="Calibri" w:eastAsia="微软雅黑"/>
          <w:b/>
          <w:color w:val="2E74B5"/>
          <w:sz w:val="17"/>
        </w:rPr>
        <w:t xml:space="preserve">式源 02  </w:t>
      </w:r>
      <w:r>
        <w:rPr>
          <w:rFonts w:ascii="Consolas" w:hAnsi="Consolas" w:eastAsia="等线"/>
          <w:color w:val="1F3142"/>
          <w:sz w:val="16"/>
        </w:rPr>
        <w:t>\mathbf K=\begin{bmatrix}f_x&amp;\gamma&amp;c_x\\0&amp;f_y&amp;c_y\\0&amp;0&amp;1\end{bmatrix}</w:t>
      </w:r>
    </w:p>
    <w:p w14:paraId="5632E71E">
      <w:pPr>
        <w:spacing w:after="80"/>
      </w:pPr>
      <w:r>
        <w:rPr>
          <w:rFonts w:ascii="Calibri" w:hAnsi="Calibri" w:eastAsia="微软雅黑"/>
          <w:b/>
          <w:color w:val="2E74B5"/>
          <w:sz w:val="17"/>
        </w:rPr>
        <w:t xml:space="preserve">式源 03  </w:t>
      </w:r>
      <w:r>
        <w:rPr>
          <w:rFonts w:ascii="Consolas" w:hAnsi="Consolas" w:eastAsia="等线"/>
          <w:color w:val="1F3142"/>
          <w:sz w:val="16"/>
        </w:rPr>
        <w:t>I_c(\mathbf x)=D_c(\mathbf x)+F_c(\mathbf x)+B_c(\mathbf x)+n_c(\mathbf x)</w:t>
      </w:r>
    </w:p>
    <w:p w14:paraId="2AF6C0E9">
      <w:pPr>
        <w:spacing w:after="80"/>
      </w:pPr>
      <w:r>
        <w:rPr>
          <w:rFonts w:ascii="Calibri" w:hAnsi="Calibri" w:eastAsia="微软雅黑"/>
          <w:b/>
          <w:color w:val="2E74B5"/>
          <w:sz w:val="17"/>
        </w:rPr>
        <w:t xml:space="preserve">式源 04  </w:t>
      </w:r>
      <w:r>
        <w:rPr>
          <w:rFonts w:ascii="Consolas" w:hAnsi="Consolas" w:eastAsia="等线"/>
          <w:color w:val="1F3142"/>
          <w:sz w:val="16"/>
        </w:rPr>
        <w:t>c(\lambda)=a(\lambda)+b(\lambda)</w:t>
      </w:r>
    </w:p>
    <w:p w14:paraId="60D43622">
      <w:pPr>
        <w:spacing w:after="80"/>
      </w:pPr>
      <w:r>
        <w:rPr>
          <w:rFonts w:ascii="Calibri" w:hAnsi="Calibri" w:eastAsia="微软雅黑"/>
          <w:b/>
          <w:color w:val="2E74B5"/>
          <w:sz w:val="17"/>
        </w:rPr>
        <w:t xml:space="preserve">式源 05  </w:t>
      </w:r>
      <w:r>
        <w:rPr>
          <w:rFonts w:ascii="Consolas" w:hAnsi="Consolas" w:eastAsia="等线"/>
          <w:color w:val="1F3142"/>
          <w:sz w:val="16"/>
        </w:rPr>
        <w:t>T_\lambda(d)=\exp[-c(\lambda)d]</w:t>
      </w:r>
    </w:p>
    <w:p w14:paraId="5B3378E9">
      <w:pPr>
        <w:spacing w:after="80"/>
      </w:pPr>
      <w:r>
        <w:rPr>
          <w:rFonts w:ascii="Calibri" w:hAnsi="Calibri" w:eastAsia="微软雅黑"/>
          <w:b/>
          <w:color w:val="2E74B5"/>
          <w:sz w:val="17"/>
        </w:rPr>
        <w:t xml:space="preserve">式源 06  </w:t>
      </w:r>
      <w:r>
        <w:rPr>
          <w:rFonts w:ascii="Consolas" w:hAnsi="Consolas" w:eastAsia="等线"/>
          <w:color w:val="1F3142"/>
          <w:sz w:val="16"/>
        </w:rPr>
        <w:t>D_c(\mathbf x)=\int S_c(\lambda)L_0(\mathbf x,\lambda)\exp[-c(\lambda)d(\mathbf x)]\,\mathrm d\lambda</w:t>
      </w:r>
    </w:p>
    <w:p w14:paraId="735E161C">
      <w:pPr>
        <w:spacing w:after="80"/>
      </w:pPr>
      <w:r>
        <w:rPr>
          <w:rFonts w:ascii="Calibri" w:hAnsi="Calibri" w:eastAsia="微软雅黑"/>
          <w:b/>
          <w:color w:val="2E74B5"/>
          <w:sz w:val="17"/>
        </w:rPr>
        <w:t xml:space="preserve">式源 07  </w:t>
      </w:r>
      <w:r>
        <w:rPr>
          <w:rFonts w:ascii="Consolas" w:hAnsi="Consolas" w:eastAsia="等线"/>
          <w:color w:val="1F3142"/>
          <w:sz w:val="16"/>
        </w:rPr>
        <w:t>D_c(\mathbf x)=G_c(\mathbf x)\rho_c(\mathbf x)E_{0,c}\exp\{-c_c[d_s(\mathbf x)+d_c(\mathbf x)]\}</w:t>
      </w:r>
    </w:p>
    <w:p w14:paraId="308EB449">
      <w:pPr>
        <w:spacing w:after="80"/>
      </w:pPr>
      <w:r>
        <w:rPr>
          <w:rFonts w:ascii="Calibri" w:hAnsi="Calibri" w:eastAsia="微软雅黑"/>
          <w:b/>
          <w:color w:val="2E74B5"/>
          <w:sz w:val="17"/>
        </w:rPr>
        <w:t xml:space="preserve">式源 08  </w:t>
      </w:r>
      <w:r>
        <w:rPr>
          <w:rFonts w:ascii="Consolas" w:hAnsi="Consolas" w:eastAsia="等线"/>
          <w:color w:val="1F3142"/>
          <w:sz w:val="16"/>
        </w:rPr>
        <w:t>F_c(\mathbf x)=\int_{\Omega}D_c(\boldsymbol\xi)h_{c,d(\mathbf x)}(\mathbf x-\boldsymbol\xi)\,\mathrm d\boldsymbol\xi</w:t>
      </w:r>
    </w:p>
    <w:p w14:paraId="76F4DDE4">
      <w:pPr>
        <w:spacing w:after="80"/>
      </w:pPr>
      <w:r>
        <w:rPr>
          <w:rFonts w:ascii="Calibri" w:hAnsi="Calibri" w:eastAsia="微软雅黑"/>
          <w:b/>
          <w:color w:val="2E74B5"/>
          <w:sz w:val="17"/>
        </w:rPr>
        <w:t xml:space="preserve">式源 09  </w:t>
      </w:r>
      <w:r>
        <w:rPr>
          <w:rFonts w:ascii="Consolas" w:hAnsi="Consolas" w:eastAsia="等线"/>
          <w:color w:val="1F3142"/>
          <w:sz w:val="16"/>
        </w:rPr>
        <w:t>B_c(\mathbf x)=\int_0^{d(\mathbf x)}q_c(s)\exp(-\beta_c^B s)\,\mathrm ds</w:t>
      </w:r>
    </w:p>
    <w:p w14:paraId="536BF287">
      <w:pPr>
        <w:spacing w:after="80"/>
      </w:pPr>
      <w:r>
        <w:rPr>
          <w:rFonts w:ascii="Calibri" w:hAnsi="Calibri" w:eastAsia="微软雅黑"/>
          <w:b/>
          <w:color w:val="2E74B5"/>
          <w:sz w:val="17"/>
        </w:rPr>
        <w:t xml:space="preserve">式源 10  </w:t>
      </w:r>
      <w:r>
        <w:rPr>
          <w:rFonts w:ascii="Consolas" w:hAnsi="Consolas" w:eastAsia="等线"/>
          <w:color w:val="1F3142"/>
          <w:sz w:val="16"/>
        </w:rPr>
        <w:t>B_c(\mathbf x)=B_{\infty,c}\{1-\exp[-\beta_c^B d(\mathbf x)]\}</w:t>
      </w:r>
    </w:p>
    <w:p w14:paraId="7182DCC8">
      <w:pPr>
        <w:spacing w:after="80"/>
      </w:pPr>
      <w:r>
        <w:rPr>
          <w:rFonts w:ascii="Calibri" w:hAnsi="Calibri" w:eastAsia="微软雅黑"/>
          <w:b/>
          <w:color w:val="2E74B5"/>
          <w:sz w:val="17"/>
        </w:rPr>
        <w:t xml:space="preserve">式源 11  </w:t>
      </w:r>
      <w:r>
        <w:rPr>
          <w:rFonts w:ascii="Consolas" w:hAnsi="Consolas" w:eastAsia="等线"/>
          <w:color w:val="1F3142"/>
          <w:sz w:val="16"/>
        </w:rPr>
        <w:t>I_c=\mathcal Q\!\left\{g_c\!\left(\int S_c(\lambda)L(\lambda)\,\mathrm d\lambda\right)+\eta_c\right\}</w:t>
      </w:r>
    </w:p>
    <w:p w14:paraId="6BD0D040">
      <w:pPr>
        <w:spacing w:after="80"/>
      </w:pPr>
      <w:r>
        <w:rPr>
          <w:rFonts w:ascii="Calibri" w:hAnsi="Calibri" w:eastAsia="微软雅黑"/>
          <w:b/>
          <w:color w:val="2E74B5"/>
          <w:sz w:val="17"/>
        </w:rPr>
        <w:t xml:space="preserve">式源 12  </w:t>
      </w:r>
      <w:r>
        <w:rPr>
          <w:rFonts w:ascii="Consolas" w:hAnsi="Consolas" w:eastAsia="等线"/>
          <w:color w:val="1F3142"/>
          <w:sz w:val="16"/>
        </w:rPr>
        <w:t>I_c=J_ct_c+\alpha_c(J_ct_c)*g_{\sigma(d)}+B_{\infty,c}(1-e^{-\beta_c^B d})+n_c</w:t>
      </w:r>
    </w:p>
    <w:p w14:paraId="03860D33">
      <w:pPr>
        <w:spacing w:after="80"/>
      </w:pPr>
      <w:r>
        <w:rPr>
          <w:rFonts w:ascii="Calibri" w:hAnsi="Calibri" w:eastAsia="微软雅黑"/>
          <w:b/>
          <w:color w:val="2E74B5"/>
          <w:sz w:val="17"/>
        </w:rPr>
        <w:t xml:space="preserve">式源 13  </w:t>
      </w:r>
      <w:r>
        <w:rPr>
          <w:rFonts w:ascii="Consolas" w:hAnsi="Consolas" w:eastAsia="等线"/>
          <w:color w:val="1F3142"/>
          <w:sz w:val="16"/>
        </w:rPr>
        <w:t>\widehat J_c=\mathrm{clip}\!\left(\frac{I_c-\widehat F_c-\widehat B_c}{\max(\widehat t_c,t_{\min})},0,1\right)</w:t>
      </w:r>
    </w:p>
    <w:p w14:paraId="486FC409">
      <w:pPr>
        <w:spacing w:after="80"/>
      </w:pPr>
      <w:r>
        <w:rPr>
          <w:rFonts w:ascii="Calibri" w:hAnsi="Calibri" w:eastAsia="微软雅黑"/>
          <w:b/>
          <w:color w:val="2E74B5"/>
          <w:sz w:val="17"/>
        </w:rPr>
        <w:t xml:space="preserve">式源 14  </w:t>
      </w:r>
      <w:r>
        <w:rPr>
          <w:rFonts w:ascii="Consolas" w:hAnsi="Consolas" w:eastAsia="等线"/>
          <w:color w:val="1F3142"/>
          <w:sz w:val="16"/>
        </w:rPr>
        <w:t>\mathrm{PSNR}=10\log_{10}\!\left(\frac{1}{\mathrm{MSE}}\right)</w:t>
      </w:r>
    </w:p>
    <w:p w14:paraId="655EC132">
      <w:pPr>
        <w:pStyle w:val="3"/>
      </w:pPr>
      <w:r>
        <w:t>参考文献</w:t>
      </w:r>
    </w:p>
    <w:p w14:paraId="4601B06E">
      <w:pPr>
        <w:spacing w:after="100"/>
        <w:ind w:left="360" w:hanging="360"/>
      </w:pPr>
      <w:r>
        <w:rPr>
          <w:rFonts w:ascii="Calibri" w:hAnsi="Calibri" w:eastAsia="宋体"/>
          <w:color w:val="1F3142"/>
          <w:sz w:val="19"/>
        </w:rPr>
        <w:t>[1] McGlamery, B. L. A Computer Model for Underwater Camera Systems. Proceedings of SPIE, Vol. 208, 1980, pp. 221–231. DOI: 10.1117/12.958279.</w:t>
      </w:r>
      <w:r>
        <w:rPr>
          <w:rFonts w:ascii="Calibri" w:hAnsi="Calibri" w:eastAsia="宋体"/>
          <w:color w:val="2E74B5"/>
          <w:sz w:val="18"/>
        </w:rPr>
        <w:t xml:space="preserve">  https://doi.org/10.1117/12.958279</w:t>
      </w:r>
    </w:p>
    <w:p w14:paraId="7F9BFAFB">
      <w:pPr>
        <w:spacing w:after="100"/>
        <w:ind w:left="360" w:hanging="360"/>
      </w:pPr>
      <w:r>
        <w:rPr>
          <w:rFonts w:ascii="Calibri" w:hAnsi="Calibri" w:eastAsia="宋体"/>
          <w:color w:val="1F3142"/>
          <w:sz w:val="19"/>
        </w:rPr>
        <w:t>[2] Jaffe, J. S. Computer Modeling and the Design of Optimal Underwater Imaging Systems. IEEE Journal of Oceanic Engineering, 15(2), 1990, pp. 101–111. DOI: 10.1109/48.50695.</w:t>
      </w:r>
      <w:r>
        <w:rPr>
          <w:rFonts w:ascii="Calibri" w:hAnsi="Calibri" w:eastAsia="宋体"/>
          <w:color w:val="2E74B5"/>
          <w:sz w:val="18"/>
        </w:rPr>
        <w:t xml:space="preserve">  https://doi.org/10.1109/48.50695</w:t>
      </w:r>
    </w:p>
    <w:p w14:paraId="79E4A29D">
      <w:pPr>
        <w:spacing w:after="100"/>
        <w:ind w:left="360" w:hanging="360"/>
      </w:pPr>
      <w:r>
        <w:rPr>
          <w:rFonts w:ascii="Calibri" w:hAnsi="Calibri" w:eastAsia="宋体"/>
          <w:color w:val="1F3142"/>
          <w:sz w:val="19"/>
        </w:rPr>
        <w:t>[3] Mobley, C. D. Light and Water: Radiative Transfer in Natural Waters. Academic Press, San Diego, 1994. ISBN: 978-0-12-502750-2.</w:t>
      </w:r>
      <w:r>
        <w:rPr>
          <w:rFonts w:ascii="Calibri" w:hAnsi="Calibri" w:eastAsia="宋体"/>
          <w:color w:val="2E74B5"/>
          <w:sz w:val="18"/>
        </w:rPr>
        <w:t xml:space="preserve">  https://openlibrary.org/books/OL1083771M/Light_and_water</w:t>
      </w:r>
    </w:p>
    <w:p w14:paraId="1F59ECC2">
      <w:pPr>
        <w:spacing w:after="100"/>
        <w:ind w:left="360" w:hanging="360"/>
      </w:pPr>
      <w:r>
        <w:rPr>
          <w:rFonts w:ascii="Calibri" w:hAnsi="Calibri" w:eastAsia="宋体"/>
          <w:color w:val="1F3142"/>
          <w:sz w:val="19"/>
        </w:rPr>
        <w:t>[4] Schechner, Y. Y.; Karpel, N. Recovery of Underwater Visibility and Structure by Polarization Analysis. IEEE Journal of Oceanic Engineering, 30(3), 2005, pp. 570–587. DOI: 10.1109/JOE.2005.850871.</w:t>
      </w:r>
      <w:r>
        <w:rPr>
          <w:rFonts w:ascii="Calibri" w:hAnsi="Calibri" w:eastAsia="宋体"/>
          <w:color w:val="2E74B5"/>
          <w:sz w:val="18"/>
        </w:rPr>
        <w:t xml:space="preserve">  https://doi.org/10.1109/JOE.2005.850871</w:t>
      </w:r>
    </w:p>
    <w:p w14:paraId="6252686D">
      <w:pPr>
        <w:spacing w:after="100"/>
        <w:ind w:left="360" w:hanging="360"/>
      </w:pPr>
      <w:r>
        <w:rPr>
          <w:rFonts w:ascii="Calibri" w:hAnsi="Calibri" w:eastAsia="宋体"/>
          <w:color w:val="1F3142"/>
          <w:sz w:val="19"/>
        </w:rPr>
        <w:t>[5] Akkaynak, D.; Treibitz, T. A Revised Underwater Image Formation Model. Proceedings of CVPR, 2018, pp. 6723–6732. DOI: 10.1109/CVPR.2018.00703.</w:t>
      </w:r>
      <w:r>
        <w:rPr>
          <w:rFonts w:ascii="Calibri" w:hAnsi="Calibri" w:eastAsia="宋体"/>
          <w:color w:val="2E74B5"/>
          <w:sz w:val="18"/>
        </w:rPr>
        <w:t xml:space="preserve">  https://openaccess.thecvf.com/content_cvpr_2018/html/Akkaynak_A_Revised_Underwater_CVPR_2018_paper.html</w:t>
      </w:r>
    </w:p>
    <w:p w14:paraId="06BC24FB">
      <w:pPr>
        <w:spacing w:after="100"/>
        <w:ind w:left="360" w:hanging="360"/>
      </w:pPr>
      <w:r>
        <w:rPr>
          <w:rFonts w:ascii="Calibri" w:hAnsi="Calibri" w:eastAsia="宋体"/>
          <w:color w:val="1F3142"/>
          <w:sz w:val="19"/>
        </w:rPr>
        <w:t>[6] Akkaynak, D.; Treibitz, T. Sea-Thru: A Method for Removing Water From Underwater Images. Proceedings of CVPR, 2019, pp. 1682–1691. DOI: 10.1109/CVPR.2019.00178.</w:t>
      </w:r>
      <w:r>
        <w:rPr>
          <w:rFonts w:ascii="Calibri" w:hAnsi="Calibri" w:eastAsia="宋体"/>
          <w:color w:val="2E74B5"/>
          <w:sz w:val="18"/>
        </w:rPr>
        <w:t xml:space="preserve">  https://openaccess.thecvf.com/content_CVPR_2019/html/Akkaynak_Sea-Thru_A_Method_for_Removing_Water_From_Underwater_Images_CVPR_2019_paper.html</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9E3D4">
    <w:pPr>
      <w:pStyle w:val="24"/>
      <w:jc w:val="right"/>
    </w:pPr>
    <w:r>
      <w:rPr>
        <w:rFonts w:ascii="Calibri" w:hAnsi="Calibri" w:eastAsia="宋体"/>
        <w:color w:val="66707B"/>
        <w:sz w:val="18"/>
      </w:rPr>
      <w:t xml:space="preserve">技术说明  |  </w:t>
    </w:r>
    <w:r>
      <w:rPr>
        <w:rFonts w:ascii="Calibri" w:hAnsi="Calibri" w:eastAsia="宋体"/>
        <w:color w:val="66707B"/>
        <w:sz w:val="18"/>
      </w:rPr>
      <w:fldChar w:fldCharType="begin"/>
    </w:r>
    <w:r>
      <w:rPr>
        <w:rFonts w:ascii="Calibri" w:hAnsi="Calibri" w:eastAsia="宋体"/>
        <w:color w:val="66707B"/>
        <w:sz w:val="18"/>
      </w:rPr>
      <w:instrText xml:space="preserve"> PAGE </w:instrText>
    </w:r>
    <w:r>
      <w:rPr>
        <w:rFonts w:ascii="Calibri" w:hAnsi="Calibri" w:eastAsia="宋体"/>
        <w:color w:val="66707B"/>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D6498">
    <w:pPr>
      <w:pStyle w:val="25"/>
      <w:jc w:val="left"/>
    </w:pPr>
    <w:r>
      <w:rPr>
        <w:rFonts w:ascii="Calibri" w:hAnsi="Calibri" w:eastAsia="微软雅黑"/>
        <w:b/>
        <w:color w:val="66707B"/>
        <w:sz w:val="18"/>
      </w:rPr>
      <w:t>水下光学成像模型 · 原理与 MATLAB 演示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6E23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宋体" w:cstheme="minorBidi"/>
      <w:color w:val="1F3142"/>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300" w:lineRule="auto"/>
      <w:ind w:left="540" w:hanging="271"/>
      <w:contextualSpacing/>
    </w:pPr>
    <w:rPr>
      <w:rFonts w:ascii="Calibri" w:hAnsi="Calibri" w:eastAsia="宋体"/>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300" w:lineRule="auto"/>
      <w:ind w:left="540" w:hanging="271"/>
      <w:contextualSpacing/>
    </w:pPr>
    <w:rPr>
      <w:rFonts w:ascii="Calibri" w:hAnsi="Calibri" w:eastAsia="宋体"/>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0" w:after="360"/>
    </w:pPr>
    <w:rPr>
      <w:rFonts w:asciiTheme="majorHAnsi" w:hAnsiTheme="majorHAnsi" w:eastAsiaTheme="majorEastAsia" w:cstheme="majorBidi"/>
      <w:i/>
      <w:iCs/>
      <w:color w:val="66707B"/>
      <w:spacing w:val="15"/>
      <w:sz w:val="28"/>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160" w:line="240" w:lineRule="auto"/>
      <w:contextualSpacing/>
    </w:pPr>
    <w:rPr>
      <w:rFonts w:asciiTheme="majorHAnsi" w:hAnsiTheme="majorHAnsi" w:eastAsiaTheme="majorEastAsia" w:cstheme="majorBidi"/>
      <w:b/>
      <w:color w:val="1F4D78"/>
      <w:spacing w:val="5"/>
      <w:kern w:val="28"/>
      <w:sz w:val="5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3423</Words>
  <Characters>6024</Characters>
  <Lines>0</Lines>
  <Paragraphs>0</Paragraphs>
  <TotalTime>497</TotalTime>
  <ScaleCrop>false</ScaleCrop>
  <LinksUpToDate>false</LinksUpToDate>
  <CharactersWithSpaces>6437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兔子</dc:creator>
  <dc:description>generated by python-docx</dc:description>
  <cp:keywords>水下成像; Jaffe; McGlamery; 前向散射; 后向散射; MATLAB</cp:keywords>
  <cp:lastModifiedBy>兔子</cp:lastModifiedBy>
  <dcterms:modified xsi:type="dcterms:W3CDTF">2026-09-04T08:55:56Z</dcterms:modified>
  <dc:subject>Jaffe–McGlamery 三分量水下成像模型、完整性审阅与 MATLAB 示例</dc:subject>
  <dc:title>水下光学成像模型原理与 MATLAB 演示</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eyJoZGlkIjoiNDMxOTUwOTA1NmRhNDEyNWExOWRmNzhlNzljNjE5YzgiLCJ1c2VySWQiOiI0MTYwMTQwNzIifQ==</vt:lpwstr>
  </property>
  <property fmtid="{D5CDD505-2E9C-101B-9397-08002B2CF9AE}" pid="3" name="KSOProductBuildVer">
    <vt:lpwstr>2052-12.1.0.28505</vt:lpwstr>
  </property>
  <property fmtid="{D5CDD505-2E9C-101B-9397-08002B2CF9AE}" pid="4" name="ICV">
    <vt:lpwstr>4A2321A2BD92493FBEE94D0BE815BC8A_12</vt:lpwstr>
  </property>
</Properties>
</file>